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rPr>
          <w:sz w:val="32"/>
          <w:szCs w:val="32"/>
        </w:rPr>
      </w:pPr>
      <w:r>
        <w:rPr>
          <w:rFonts w:hint="eastAsia"/>
          <w:sz w:val="32"/>
          <w:szCs w:val="32"/>
        </w:rPr>
        <w:t>附件3</w:t>
      </w:r>
    </w:p>
    <w:p>
      <w:pPr>
        <w:jc w:val="center"/>
        <w:rPr>
          <w:sz w:val="44"/>
          <w:szCs w:val="44"/>
        </w:rPr>
      </w:pPr>
      <w:r>
        <w:rPr>
          <w:rFonts w:hint="eastAsia"/>
          <w:sz w:val="44"/>
          <w:szCs w:val="44"/>
        </w:rPr>
        <w:t>本溪市文化旅游和广播电视局减轻处罚事项清单</w:t>
      </w:r>
    </w:p>
    <w:p>
      <w:pPr>
        <w:rPr>
          <w:rFonts w:ascii="仿宋" w:hAnsi="仿宋" w:eastAsia="仿宋"/>
          <w:sz w:val="30"/>
          <w:szCs w:val="30"/>
        </w:rPr>
      </w:pPr>
      <w:r>
        <w:rPr>
          <w:rFonts w:hint="eastAsia" w:ascii="仿宋" w:hAnsi="仿宋" w:eastAsia="仿宋"/>
          <w:sz w:val="30"/>
          <w:szCs w:val="30"/>
        </w:rPr>
        <w:t>填报单位：本溪市文化旅游和广播电视局</w:t>
      </w:r>
    </w:p>
    <w:tbl>
      <w:tblPr>
        <w:tblStyle w:val="5"/>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3969"/>
        <w:gridCol w:w="1276"/>
        <w:gridCol w:w="1701"/>
        <w:gridCol w:w="4252"/>
        <w:gridCol w:w="992"/>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675"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序号</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管理领域</w:t>
            </w:r>
          </w:p>
        </w:tc>
        <w:tc>
          <w:tcPr>
            <w:tcW w:w="3969" w:type="dxa"/>
            <w:vAlign w:val="center"/>
          </w:tcPr>
          <w:p>
            <w:pPr>
              <w:jc w:val="center"/>
              <w:rPr>
                <w:rFonts w:ascii="仿宋" w:hAnsi="仿宋" w:eastAsia="仿宋"/>
                <w:sz w:val="30"/>
                <w:szCs w:val="30"/>
              </w:rPr>
            </w:pPr>
            <w:r>
              <w:rPr>
                <w:rFonts w:hint="eastAsia" w:ascii="仿宋" w:hAnsi="仿宋" w:eastAsia="仿宋"/>
                <w:sz w:val="30"/>
                <w:szCs w:val="30"/>
              </w:rPr>
              <w:t>违法事项</w:t>
            </w:r>
          </w:p>
        </w:tc>
        <w:tc>
          <w:tcPr>
            <w:tcW w:w="1276"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适用</w:t>
            </w:r>
          </w:p>
          <w:p>
            <w:pPr>
              <w:spacing w:line="380" w:lineRule="exact"/>
              <w:jc w:val="center"/>
              <w:rPr>
                <w:rFonts w:ascii="仿宋" w:hAnsi="仿宋" w:eastAsia="仿宋"/>
                <w:sz w:val="30"/>
                <w:szCs w:val="30"/>
              </w:rPr>
            </w:pPr>
            <w:r>
              <w:rPr>
                <w:rFonts w:hint="eastAsia" w:ascii="仿宋" w:hAnsi="仿宋" w:eastAsia="仿宋"/>
                <w:sz w:val="30"/>
                <w:szCs w:val="30"/>
              </w:rPr>
              <w:t>情形</w:t>
            </w:r>
          </w:p>
        </w:tc>
        <w:tc>
          <w:tcPr>
            <w:tcW w:w="170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从轻处</w:t>
            </w:r>
          </w:p>
          <w:p>
            <w:pPr>
              <w:spacing w:line="380" w:lineRule="exact"/>
              <w:jc w:val="center"/>
              <w:rPr>
                <w:rFonts w:ascii="仿宋" w:hAnsi="仿宋" w:eastAsia="仿宋"/>
                <w:sz w:val="30"/>
                <w:szCs w:val="30"/>
              </w:rPr>
            </w:pPr>
            <w:r>
              <w:rPr>
                <w:rFonts w:hint="eastAsia" w:ascii="仿宋" w:hAnsi="仿宋" w:eastAsia="仿宋"/>
                <w:sz w:val="30"/>
                <w:szCs w:val="30"/>
              </w:rPr>
              <w:t>罚幅度</w:t>
            </w:r>
          </w:p>
        </w:tc>
        <w:tc>
          <w:tcPr>
            <w:tcW w:w="4252" w:type="dxa"/>
            <w:vAlign w:val="center"/>
          </w:tcPr>
          <w:p>
            <w:pPr>
              <w:jc w:val="center"/>
              <w:rPr>
                <w:rFonts w:ascii="仿宋" w:hAnsi="仿宋" w:eastAsia="仿宋"/>
                <w:sz w:val="30"/>
                <w:szCs w:val="30"/>
              </w:rPr>
            </w:pPr>
            <w:r>
              <w:rPr>
                <w:rFonts w:hint="eastAsia" w:ascii="仿宋" w:hAnsi="仿宋" w:eastAsia="仿宋"/>
                <w:sz w:val="30"/>
                <w:szCs w:val="30"/>
              </w:rPr>
              <w:t>法定依据</w:t>
            </w:r>
          </w:p>
        </w:tc>
        <w:tc>
          <w:tcPr>
            <w:tcW w:w="992" w:type="dxa"/>
            <w:vAlign w:val="center"/>
          </w:tcPr>
          <w:p>
            <w:pPr>
              <w:jc w:val="center"/>
              <w:rPr>
                <w:rFonts w:ascii="仿宋_GB2312" w:hAnsi="Tahoma" w:eastAsia="仿宋_GB2312" w:cs="Tahoma"/>
                <w:szCs w:val="21"/>
              </w:rPr>
            </w:pPr>
            <w:r>
              <w:rPr>
                <w:rFonts w:hint="eastAsia" w:ascii="仿宋_GB2312" w:hAnsi="Tahoma" w:eastAsia="仿宋_GB2312" w:cs="Tahoma"/>
                <w:szCs w:val="21"/>
              </w:rPr>
              <w:t>配套监管</w:t>
            </w:r>
          </w:p>
          <w:p>
            <w:pPr>
              <w:jc w:val="center"/>
              <w:rPr>
                <w:rFonts w:ascii="仿宋_GB2312" w:hAnsi="Tahoma" w:eastAsia="仿宋_GB2312" w:cs="Tahoma"/>
                <w:szCs w:val="21"/>
              </w:rPr>
            </w:pPr>
            <w:r>
              <w:rPr>
                <w:rFonts w:hint="eastAsia" w:ascii="仿宋_GB2312" w:hAnsi="Tahoma" w:eastAsia="仿宋_GB2312" w:cs="Tahoma"/>
                <w:szCs w:val="21"/>
              </w:rPr>
              <w:t>措施</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3969"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从业人员在营业期间未统一着装并佩带工作标志</w:t>
            </w:r>
          </w:p>
        </w:tc>
        <w:tc>
          <w:tcPr>
            <w:tcW w:w="1276"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2年内被处以3次警告或者罚款后，再次查处的。</w:t>
            </w:r>
            <w:r>
              <w:rPr>
                <w:rFonts w:ascii="仿宋_GB2312" w:hAnsi="Tahoma" w:eastAsia="仿宋_GB2312" w:cs="Tahoma"/>
                <w:sz w:val="21"/>
                <w:szCs w:val="21"/>
              </w:rPr>
              <w:t xml:space="preserve"> </w:t>
            </w:r>
          </w:p>
        </w:tc>
        <w:tc>
          <w:tcPr>
            <w:tcW w:w="1701"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责令停业整顿1个月</w:t>
            </w:r>
          </w:p>
        </w:tc>
        <w:tc>
          <w:tcPr>
            <w:tcW w:w="4252" w:type="dxa"/>
            <w:vAlign w:val="center"/>
          </w:tcPr>
          <w:p>
            <w:pPr>
              <w:spacing w:line="320" w:lineRule="exact"/>
              <w:rPr>
                <w:rFonts w:ascii="仿宋" w:hAnsi="仿宋" w:eastAsia="仿宋"/>
                <w:sz w:val="21"/>
                <w:szCs w:val="21"/>
              </w:rPr>
            </w:pPr>
            <w:r>
              <w:rPr>
                <w:rFonts w:hint="eastAsia" w:ascii="仿宋_GB2312" w:hAnsi="Tahoma" w:eastAsia="仿宋_GB2312" w:cs="Tahoma"/>
                <w:sz w:val="21"/>
                <w:szCs w:val="21"/>
              </w:rPr>
              <w:t>《娱乐场所管理条例》（国务院令第458号，2016年2月6日国务院令第666号修订第四十九条；参照《辽宁省文化市场综合执法行政处罚裁量权基准》10条</w:t>
            </w:r>
          </w:p>
        </w:tc>
        <w:tc>
          <w:tcPr>
            <w:tcW w:w="992"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3969" w:type="dxa"/>
            <w:vAlign w:val="center"/>
          </w:tcPr>
          <w:p>
            <w:pPr>
              <w:spacing w:line="320" w:lineRule="exact"/>
              <w:rPr>
                <w:rFonts w:ascii="仿宋" w:hAnsi="仿宋" w:eastAsia="仿宋"/>
                <w:sz w:val="21"/>
                <w:szCs w:val="21"/>
              </w:rPr>
            </w:pPr>
            <w:r>
              <w:rPr>
                <w:rFonts w:hint="eastAsia" w:ascii="仿宋_GB2312" w:hAnsi="Tahoma" w:eastAsia="仿宋_GB2312" w:cs="Tahoma"/>
                <w:sz w:val="21"/>
                <w:szCs w:val="21"/>
              </w:rPr>
              <w:t>娱乐场所未按照本条例规定建立从业人员名簿、营业日志</w:t>
            </w:r>
          </w:p>
        </w:tc>
        <w:tc>
          <w:tcPr>
            <w:tcW w:w="1276"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2年内被处以3次警告或者罚款后，再次查处的。</w:t>
            </w:r>
            <w:r>
              <w:rPr>
                <w:rFonts w:ascii="仿宋_GB2312" w:hAnsi="Tahoma" w:eastAsia="仿宋_GB2312" w:cs="Tahoma"/>
                <w:sz w:val="21"/>
                <w:szCs w:val="21"/>
              </w:rPr>
              <w:t xml:space="preserve"> </w:t>
            </w:r>
          </w:p>
        </w:tc>
        <w:tc>
          <w:tcPr>
            <w:tcW w:w="1701"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责令停业整顿1</w:t>
            </w:r>
            <w:bookmarkStart w:id="0" w:name="_GoBack"/>
            <w:bookmarkEnd w:id="0"/>
            <w:r>
              <w:rPr>
                <w:rFonts w:hint="eastAsia" w:ascii="仿宋_GB2312" w:hAnsi="Tahoma" w:eastAsia="仿宋_GB2312" w:cs="Tahoma"/>
                <w:sz w:val="21"/>
                <w:szCs w:val="21"/>
              </w:rPr>
              <w:t>个月</w:t>
            </w:r>
          </w:p>
        </w:tc>
        <w:tc>
          <w:tcPr>
            <w:tcW w:w="4252" w:type="dxa"/>
            <w:vAlign w:val="center"/>
          </w:tcPr>
          <w:p>
            <w:pPr>
              <w:spacing w:line="320" w:lineRule="exact"/>
              <w:rPr>
                <w:rFonts w:ascii="仿宋" w:hAnsi="仿宋" w:eastAsia="仿宋"/>
                <w:sz w:val="21"/>
                <w:szCs w:val="21"/>
              </w:rPr>
            </w:pPr>
            <w:r>
              <w:rPr>
                <w:rFonts w:hint="eastAsia" w:ascii="仿宋_GB2312" w:hAnsi="Tahoma" w:eastAsia="仿宋_GB2312" w:cs="Tahoma"/>
                <w:sz w:val="21"/>
                <w:szCs w:val="21"/>
              </w:rPr>
              <w:t>《娱乐场所管理条例》（国务院令第458号，2016年2月6日国务院令第666号修订第五十条；参照《辽宁省文化市场综合执法行政处罚裁量权基准》11条</w:t>
            </w:r>
          </w:p>
        </w:tc>
        <w:tc>
          <w:tcPr>
            <w:tcW w:w="992"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3969"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非经营性互联网文化单位未在其网站主页的显著位置标明文化行政部门颁发的《网络文化经营许可证》编号或者备案编号等</w:t>
            </w:r>
          </w:p>
        </w:tc>
        <w:tc>
          <w:tcPr>
            <w:tcW w:w="1276"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拒不改正的</w:t>
            </w:r>
          </w:p>
        </w:tc>
        <w:tc>
          <w:tcPr>
            <w:tcW w:w="1701"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责令停止经营，并处500以下罚款</w:t>
            </w:r>
          </w:p>
        </w:tc>
        <w:tc>
          <w:tcPr>
            <w:tcW w:w="4252" w:type="dxa"/>
            <w:vAlign w:val="center"/>
          </w:tcPr>
          <w:p>
            <w:pPr>
              <w:spacing w:line="320" w:lineRule="exact"/>
              <w:rPr>
                <w:rFonts w:ascii="仿宋" w:hAnsi="仿宋" w:eastAsia="仿宋"/>
                <w:sz w:val="21"/>
                <w:szCs w:val="21"/>
              </w:rPr>
            </w:pPr>
            <w:r>
              <w:rPr>
                <w:rFonts w:hint="eastAsia" w:ascii="仿宋_GB2312" w:hAnsi="Tahoma" w:eastAsia="仿宋_GB2312" w:cs="Tahoma"/>
                <w:sz w:val="21"/>
                <w:szCs w:val="21"/>
              </w:rPr>
              <w:t>《互联网文化管理暂行规定》（</w:t>
            </w:r>
            <w:r>
              <w:rPr>
                <w:rFonts w:ascii="仿宋_GB2312" w:hAnsi="Tahoma" w:eastAsia="仿宋_GB2312" w:cs="Tahoma"/>
                <w:sz w:val="21"/>
                <w:szCs w:val="21"/>
              </w:rPr>
              <w:t>2011</w:t>
            </w:r>
            <w:r>
              <w:rPr>
                <w:rFonts w:hint="eastAsia" w:ascii="仿宋_GB2312" w:hAnsi="Tahoma" w:eastAsia="仿宋_GB2312" w:cs="Tahoma"/>
                <w:sz w:val="21"/>
                <w:szCs w:val="21"/>
              </w:rPr>
              <w:t>年</w:t>
            </w:r>
            <w:r>
              <w:rPr>
                <w:rFonts w:ascii="仿宋_GB2312" w:hAnsi="Tahoma" w:eastAsia="仿宋_GB2312" w:cs="Tahoma"/>
                <w:sz w:val="21"/>
                <w:szCs w:val="21"/>
              </w:rPr>
              <w:t>2</w:t>
            </w:r>
            <w:r>
              <w:rPr>
                <w:rFonts w:hint="eastAsia" w:ascii="仿宋_GB2312" w:hAnsi="Tahoma" w:eastAsia="仿宋_GB2312" w:cs="Tahoma"/>
                <w:sz w:val="21"/>
                <w:szCs w:val="21"/>
              </w:rPr>
              <w:t>月通过，</w:t>
            </w:r>
            <w:r>
              <w:rPr>
                <w:rFonts w:ascii="仿宋_GB2312" w:hAnsi="Tahoma" w:eastAsia="仿宋_GB2312" w:cs="Tahoma"/>
                <w:sz w:val="21"/>
                <w:szCs w:val="21"/>
              </w:rPr>
              <w:t xml:space="preserve"> 2017</w:t>
            </w:r>
            <w:r>
              <w:rPr>
                <w:rFonts w:hint="eastAsia" w:ascii="仿宋_GB2312" w:hAnsi="Tahoma" w:eastAsia="仿宋_GB2312" w:cs="Tahoma"/>
                <w:sz w:val="21"/>
                <w:szCs w:val="21"/>
              </w:rPr>
              <w:t>年</w:t>
            </w:r>
            <w:r>
              <w:rPr>
                <w:rFonts w:ascii="仿宋_GB2312" w:hAnsi="Tahoma" w:eastAsia="仿宋_GB2312" w:cs="Tahoma"/>
                <w:sz w:val="21"/>
                <w:szCs w:val="21"/>
              </w:rPr>
              <w:t>12</w:t>
            </w:r>
            <w:r>
              <w:rPr>
                <w:rFonts w:hint="eastAsia" w:ascii="仿宋_GB2312" w:hAnsi="Tahoma" w:eastAsia="仿宋_GB2312" w:cs="Tahoma"/>
                <w:sz w:val="21"/>
                <w:szCs w:val="21"/>
              </w:rPr>
              <w:t>月文化部令第</w:t>
            </w:r>
            <w:r>
              <w:rPr>
                <w:rFonts w:ascii="仿宋_GB2312" w:hAnsi="Tahoma" w:eastAsia="仿宋_GB2312" w:cs="Tahoma"/>
                <w:sz w:val="21"/>
                <w:szCs w:val="21"/>
              </w:rPr>
              <w:t>5</w:t>
            </w:r>
            <w:r>
              <w:rPr>
                <w:rFonts w:hint="eastAsia" w:ascii="仿宋_GB2312" w:hAnsi="Tahoma" w:eastAsia="仿宋_GB2312" w:cs="Tahoma"/>
                <w:sz w:val="21"/>
                <w:szCs w:val="21"/>
              </w:rPr>
              <w:t>7号修订）第二十三条；参照《辽宁省文化市场综合执法行政处罚裁量权基准》43条</w:t>
            </w:r>
          </w:p>
        </w:tc>
        <w:tc>
          <w:tcPr>
            <w:tcW w:w="992"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3969"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经营性互联网文化单位经营进口互联网文化产品未在其显著位置标明文化部批准文号、经营国产互联网文化产品未在其显著位置标明文化部备案编号</w:t>
            </w:r>
          </w:p>
        </w:tc>
        <w:tc>
          <w:tcPr>
            <w:tcW w:w="1276"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第二次查处</w:t>
            </w:r>
          </w:p>
        </w:tc>
        <w:tc>
          <w:tcPr>
            <w:tcW w:w="1701"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责令改正，可处4000元以上6000元以下罚款。</w:t>
            </w:r>
          </w:p>
        </w:tc>
        <w:tc>
          <w:tcPr>
            <w:tcW w:w="4252"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《互联网文化管理暂行规定》（2011年2月通过，2017年12月文化部令第57号修订）第二十五条；《辽宁省文化市场综合执法行政处罚裁量权基准》44条</w:t>
            </w:r>
          </w:p>
        </w:tc>
        <w:tc>
          <w:tcPr>
            <w:tcW w:w="992"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675"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w:t>
            </w:r>
          </w:p>
          <w:p>
            <w:pPr>
              <w:spacing w:line="380" w:lineRule="exact"/>
              <w:jc w:val="center"/>
              <w:rPr>
                <w:rFonts w:ascii="仿宋_GB2312" w:hAnsi="Tahoma" w:eastAsia="仿宋_GB2312" w:cs="Tahoma"/>
                <w:sz w:val="18"/>
                <w:szCs w:val="18"/>
              </w:rPr>
            </w:pPr>
            <w:r>
              <w:rPr>
                <w:rFonts w:hint="eastAsia" w:ascii="仿宋" w:hAnsi="仿宋" w:eastAsia="仿宋"/>
                <w:sz w:val="30"/>
                <w:szCs w:val="30"/>
              </w:rPr>
              <w:t>市场</w:t>
            </w:r>
          </w:p>
        </w:tc>
        <w:tc>
          <w:tcPr>
            <w:tcW w:w="3969"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经营性互联网文化单位，经营国产互联网文化产品逾期未报文化行政部门备案</w:t>
            </w:r>
          </w:p>
        </w:tc>
        <w:tc>
          <w:tcPr>
            <w:tcW w:w="1276" w:type="dxa"/>
            <w:vAlign w:val="center"/>
          </w:tcPr>
          <w:p>
            <w:pPr>
              <w:spacing w:line="320" w:lineRule="exact"/>
              <w:rPr>
                <w:rFonts w:hint="eastAsia" w:ascii="仿宋_GB2312" w:hAnsi="Tahoma" w:eastAsia="仿宋_GB2312" w:cs="Tahoma"/>
                <w:sz w:val="21"/>
                <w:szCs w:val="21"/>
              </w:rPr>
            </w:pPr>
            <w:r>
              <w:rPr>
                <w:rFonts w:hint="eastAsia" w:ascii="仿宋_GB2312" w:hAnsi="Tahoma" w:eastAsia="仿宋_GB2312" w:cs="Tahoma"/>
                <w:sz w:val="21"/>
                <w:szCs w:val="21"/>
              </w:rPr>
              <w:t>一款国产互联网文化产品逾期未报文化行政部门备案</w:t>
            </w:r>
          </w:p>
        </w:tc>
        <w:tc>
          <w:tcPr>
            <w:tcW w:w="1701" w:type="dxa"/>
            <w:vAlign w:val="center"/>
          </w:tcPr>
          <w:p>
            <w:pPr>
              <w:spacing w:line="320" w:lineRule="exact"/>
              <w:rPr>
                <w:rFonts w:hint="eastAsia" w:ascii="仿宋_GB2312" w:hAnsi="Tahoma" w:eastAsia="仿宋_GB2312" w:cs="Tahoma"/>
                <w:sz w:val="21"/>
                <w:szCs w:val="21"/>
              </w:rPr>
            </w:pPr>
            <w:r>
              <w:rPr>
                <w:rFonts w:hint="eastAsia" w:ascii="仿宋_GB2312" w:hAnsi="Tahoma" w:eastAsia="仿宋_GB2312" w:cs="Tahoma"/>
                <w:sz w:val="21"/>
                <w:szCs w:val="21"/>
              </w:rPr>
              <w:t>处3000元以上5000元以下罚款</w:t>
            </w:r>
          </w:p>
        </w:tc>
        <w:tc>
          <w:tcPr>
            <w:tcW w:w="4252"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《互联网文化管理暂行规定》（2011年2月通过，2017年12月文化部令第57号修订）第二十七条；《辽宁省文化市场综合执法行政处罚裁量权基准》45条</w:t>
            </w:r>
          </w:p>
        </w:tc>
        <w:tc>
          <w:tcPr>
            <w:tcW w:w="992"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851" w:type="dxa"/>
            <w:vAlign w:val="center"/>
          </w:tcPr>
          <w:p>
            <w:pPr>
              <w:spacing w:line="380" w:lineRule="exact"/>
              <w:jc w:val="center"/>
              <w:rPr>
                <w:rFonts w:hint="eastAsia" w:ascii="仿宋" w:hAnsi="仿宋" w:eastAsia="仿宋"/>
                <w:sz w:val="30"/>
                <w:szCs w:val="30"/>
              </w:rPr>
            </w:pPr>
            <w:r>
              <w:rPr>
                <w:rFonts w:hint="eastAsia" w:ascii="仿宋" w:hAnsi="仿宋" w:eastAsia="仿宋"/>
                <w:sz w:val="30"/>
                <w:szCs w:val="30"/>
              </w:rPr>
              <w:t>文化</w:t>
            </w:r>
          </w:p>
          <w:p>
            <w:pPr>
              <w:spacing w:line="380" w:lineRule="exact"/>
              <w:jc w:val="center"/>
              <w:rPr>
                <w:rFonts w:hint="eastAsia" w:ascii="仿宋" w:hAnsi="仿宋" w:eastAsia="仿宋"/>
                <w:sz w:val="30"/>
                <w:szCs w:val="30"/>
              </w:rPr>
            </w:pPr>
            <w:r>
              <w:rPr>
                <w:rFonts w:hint="eastAsia" w:ascii="仿宋" w:hAnsi="仿宋" w:eastAsia="仿宋"/>
                <w:sz w:val="30"/>
                <w:szCs w:val="30"/>
              </w:rPr>
              <w:t>市场</w:t>
            </w:r>
          </w:p>
        </w:tc>
        <w:tc>
          <w:tcPr>
            <w:tcW w:w="3969" w:type="dxa"/>
            <w:vAlign w:val="center"/>
          </w:tcPr>
          <w:p>
            <w:pPr>
              <w:spacing w:line="380" w:lineRule="exact"/>
              <w:jc w:val="center"/>
              <w:rPr>
                <w:rFonts w:hint="eastAsia" w:ascii="仿宋" w:hAnsi="仿宋" w:eastAsia="仿宋"/>
                <w:sz w:val="21"/>
                <w:szCs w:val="21"/>
              </w:rPr>
            </w:pPr>
            <w:r>
              <w:rPr>
                <w:rFonts w:hint="eastAsia" w:ascii="仿宋_GB2312" w:hAnsi="Tahoma" w:eastAsia="仿宋_GB2312" w:cs="Tahoma"/>
                <w:sz w:val="21"/>
                <w:szCs w:val="21"/>
              </w:rPr>
              <w:t>未悬挂《网络文化经营许可证》或者未成年人禁入标志</w:t>
            </w:r>
          </w:p>
        </w:tc>
        <w:tc>
          <w:tcPr>
            <w:tcW w:w="1276" w:type="dxa"/>
            <w:vAlign w:val="center"/>
          </w:tcPr>
          <w:p>
            <w:pPr>
              <w:spacing w:line="320" w:lineRule="exact"/>
              <w:rPr>
                <w:rFonts w:hint="eastAsia" w:ascii="仿宋_GB2312" w:hAnsi="Tahoma" w:eastAsia="仿宋_GB2312" w:cs="Tahoma"/>
                <w:sz w:val="21"/>
                <w:szCs w:val="21"/>
              </w:rPr>
            </w:pPr>
            <w:r>
              <w:rPr>
                <w:rFonts w:hint="eastAsia" w:ascii="仿宋_GB2312" w:hAnsi="Tahoma" w:eastAsia="仿宋_GB2312" w:cs="Tahoma"/>
                <w:sz w:val="21"/>
                <w:szCs w:val="21"/>
              </w:rPr>
              <w:t>第二次查处的</w:t>
            </w:r>
          </w:p>
        </w:tc>
        <w:tc>
          <w:tcPr>
            <w:tcW w:w="1701" w:type="dxa"/>
            <w:vAlign w:val="center"/>
          </w:tcPr>
          <w:p>
            <w:pPr>
              <w:spacing w:line="320" w:lineRule="exact"/>
              <w:rPr>
                <w:rFonts w:hint="eastAsia" w:ascii="仿宋_GB2312" w:hAnsi="Tahoma" w:eastAsia="仿宋_GB2312" w:cs="Tahoma"/>
                <w:sz w:val="21"/>
                <w:szCs w:val="21"/>
              </w:rPr>
            </w:pPr>
            <w:r>
              <w:rPr>
                <w:rFonts w:hint="eastAsia" w:ascii="仿宋_GB2312" w:hAnsi="Tahoma" w:eastAsia="仿宋_GB2312" w:cs="Tahoma"/>
                <w:sz w:val="21"/>
                <w:szCs w:val="21"/>
              </w:rPr>
              <w:t>给予警告，并处1000元以上2000元以下罚款</w:t>
            </w:r>
          </w:p>
        </w:tc>
        <w:tc>
          <w:tcPr>
            <w:tcW w:w="4252"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《互联网上网服务营业场所管理条例》2022年3月29日《国务院关于修改和废止部分行政法规的决定》第四次修订) ；《辽宁省文化市场综合执法行政处罚裁量权基准》4条</w:t>
            </w:r>
          </w:p>
        </w:tc>
        <w:tc>
          <w:tcPr>
            <w:tcW w:w="992"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7</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出版市场</w:t>
            </w:r>
          </w:p>
        </w:tc>
        <w:tc>
          <w:tcPr>
            <w:tcW w:w="3969"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出版物经营许可证未在经营场所明显处张挂或者未在网页醒目位置公开出版物经营许可证和营业执照登载的有关信息或者链接标识的</w:t>
            </w:r>
          </w:p>
        </w:tc>
        <w:tc>
          <w:tcPr>
            <w:tcW w:w="1276" w:type="dxa"/>
            <w:vAlign w:val="center"/>
          </w:tcPr>
          <w:p>
            <w:pPr>
              <w:spacing w:line="320" w:lineRule="exact"/>
              <w:rPr>
                <w:rFonts w:ascii="仿宋" w:hAnsi="仿宋" w:eastAsia="仿宋"/>
                <w:sz w:val="21"/>
                <w:szCs w:val="21"/>
              </w:rPr>
            </w:pPr>
            <w:r>
              <w:rPr>
                <w:rFonts w:hint="eastAsia" w:ascii="仿宋_GB2312" w:hAnsi="Tahoma" w:eastAsia="仿宋_GB2312" w:cs="Tahoma"/>
                <w:sz w:val="21"/>
                <w:szCs w:val="21"/>
              </w:rPr>
              <w:t>第二次及以上查处</w:t>
            </w:r>
          </w:p>
        </w:tc>
        <w:tc>
          <w:tcPr>
            <w:tcW w:w="1701"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给予警告，每次加处10000元罚款</w:t>
            </w:r>
          </w:p>
        </w:tc>
        <w:tc>
          <w:tcPr>
            <w:tcW w:w="4252" w:type="dxa"/>
            <w:vAlign w:val="center"/>
          </w:tcPr>
          <w:p>
            <w:pPr>
              <w:spacing w:line="320" w:lineRule="exact"/>
              <w:rPr>
                <w:rFonts w:ascii="仿宋_GB2312" w:hAnsi="Tahoma" w:eastAsia="仿宋_GB2312" w:cs="Tahoma"/>
                <w:sz w:val="21"/>
                <w:szCs w:val="21"/>
              </w:rPr>
            </w:pPr>
            <w:r>
              <w:rPr>
                <w:rFonts w:hint="eastAsia" w:ascii="仿宋_GB2312" w:hAnsi="Tahoma" w:eastAsia="仿宋_GB2312" w:cs="Tahoma"/>
                <w:sz w:val="21"/>
                <w:szCs w:val="21"/>
              </w:rPr>
              <w:t>《出版物市场管理规定》（国家新闻出版广电总局、中华人民共和国商务部令第10号，2016年5月31日公布，自2016年6月1日起施行）第三十七条款； 《辽宁省文化市场综合执法行政处罚裁量权基准》70条</w:t>
            </w:r>
          </w:p>
        </w:tc>
        <w:tc>
          <w:tcPr>
            <w:tcW w:w="992"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851" w:type="dxa"/>
            <w:vAlign w:val="center"/>
          </w:tcPr>
          <w:p>
            <w:pPr>
              <w:jc w:val="center"/>
              <w:rPr>
                <w:rFonts w:ascii="仿宋" w:hAnsi="仿宋" w:eastAsia="仿宋"/>
                <w:sz w:val="30"/>
                <w:szCs w:val="30"/>
              </w:rPr>
            </w:pPr>
            <w:r>
              <w:rPr>
                <w:rFonts w:hint="eastAsia" w:ascii="仿宋" w:hAnsi="仿宋" w:eastAsia="仿宋"/>
                <w:sz w:val="30"/>
                <w:szCs w:val="30"/>
              </w:rPr>
              <w:t>市县</w:t>
            </w:r>
          </w:p>
        </w:tc>
      </w:tr>
    </w:tbl>
    <w:p>
      <w:pPr>
        <w:jc w:val="center"/>
        <w:rPr>
          <w:sz w:val="36"/>
          <w:szCs w:val="36"/>
        </w:rPr>
      </w:pPr>
    </w:p>
    <w:p>
      <w:pPr>
        <w:jc w:val="center"/>
        <w:rPr>
          <w:sz w:val="36"/>
          <w:szCs w:val="36"/>
        </w:rPr>
      </w:pPr>
    </w:p>
    <w:p>
      <w:pPr>
        <w:jc w:val="center"/>
        <w:rPr>
          <w:sz w:val="36"/>
          <w:szCs w:val="36"/>
        </w:rPr>
      </w:pPr>
    </w:p>
    <w:p>
      <w:pPr>
        <w:jc w:val="center"/>
        <w:rPr>
          <w:sz w:val="36"/>
          <w:szCs w:val="36"/>
        </w:rPr>
      </w:pPr>
    </w:p>
    <w:p>
      <w:pPr>
        <w:jc w:val="both"/>
        <w:rPr>
          <w:sz w:val="36"/>
          <w:szCs w:val="36"/>
        </w:rPr>
      </w:pPr>
    </w:p>
    <w:p>
      <w:pPr>
        <w:jc w:val="center"/>
        <w:rPr>
          <w:sz w:val="36"/>
          <w:szCs w:val="36"/>
        </w:rPr>
      </w:pPr>
    </w:p>
    <w:p>
      <w:pPr>
        <w:jc w:val="center"/>
        <w:rPr>
          <w:sz w:val="36"/>
          <w:szCs w:val="36"/>
        </w:rPr>
      </w:pPr>
    </w:p>
    <w:p>
      <w:pPr>
        <w:rPr>
          <w:rFonts w:ascii="仿宋" w:hAnsi="仿宋" w:eastAsia="仿宋"/>
          <w:sz w:val="30"/>
          <w:szCs w:val="30"/>
        </w:rPr>
      </w:pPr>
    </w:p>
    <w:sectPr>
      <w:footerReference r:id="rId3" w:type="default"/>
      <w:pgSz w:w="16838" w:h="11906" w:orient="landscape"/>
      <w:pgMar w:top="851"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隶书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277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5F3B"/>
    <w:rsid w:val="00057C2B"/>
    <w:rsid w:val="000C1E5A"/>
    <w:rsid w:val="001165E1"/>
    <w:rsid w:val="00135790"/>
    <w:rsid w:val="001C5DA9"/>
    <w:rsid w:val="0027703D"/>
    <w:rsid w:val="00291576"/>
    <w:rsid w:val="002D0BD2"/>
    <w:rsid w:val="00307ABC"/>
    <w:rsid w:val="003B3F8B"/>
    <w:rsid w:val="003D06CB"/>
    <w:rsid w:val="003F64AE"/>
    <w:rsid w:val="004C0495"/>
    <w:rsid w:val="005116B2"/>
    <w:rsid w:val="00513C99"/>
    <w:rsid w:val="00540046"/>
    <w:rsid w:val="00551276"/>
    <w:rsid w:val="00562616"/>
    <w:rsid w:val="00563D25"/>
    <w:rsid w:val="00582C6A"/>
    <w:rsid w:val="00585F3B"/>
    <w:rsid w:val="00625E98"/>
    <w:rsid w:val="006277E1"/>
    <w:rsid w:val="006547D7"/>
    <w:rsid w:val="006A0B80"/>
    <w:rsid w:val="007C4F29"/>
    <w:rsid w:val="007E27E5"/>
    <w:rsid w:val="00804D7D"/>
    <w:rsid w:val="008A1795"/>
    <w:rsid w:val="008C7290"/>
    <w:rsid w:val="009D69ED"/>
    <w:rsid w:val="009E5E1F"/>
    <w:rsid w:val="009F12E0"/>
    <w:rsid w:val="00A01416"/>
    <w:rsid w:val="00A43660"/>
    <w:rsid w:val="00A73C8D"/>
    <w:rsid w:val="00A750F3"/>
    <w:rsid w:val="00A758AE"/>
    <w:rsid w:val="00AA18D8"/>
    <w:rsid w:val="00B00E00"/>
    <w:rsid w:val="00B63DE6"/>
    <w:rsid w:val="00C13CF6"/>
    <w:rsid w:val="00C76AAC"/>
    <w:rsid w:val="00C830E8"/>
    <w:rsid w:val="00C94E39"/>
    <w:rsid w:val="00CC0D0A"/>
    <w:rsid w:val="00D42069"/>
    <w:rsid w:val="00D44E7D"/>
    <w:rsid w:val="00DB555A"/>
    <w:rsid w:val="00DE3A66"/>
    <w:rsid w:val="00DE4D7C"/>
    <w:rsid w:val="00E66E3E"/>
    <w:rsid w:val="00E83CFD"/>
    <w:rsid w:val="00E9356C"/>
    <w:rsid w:val="00EA1542"/>
    <w:rsid w:val="00EE3E97"/>
    <w:rsid w:val="00EF5070"/>
    <w:rsid w:val="00F47916"/>
    <w:rsid w:val="00F916E0"/>
    <w:rsid w:val="00FA7117"/>
    <w:rsid w:val="00FB10C2"/>
    <w:rsid w:val="27DD60D1"/>
    <w:rsid w:val="27EF596B"/>
    <w:rsid w:val="3F3FBBD7"/>
    <w:rsid w:val="3F75A6A7"/>
    <w:rsid w:val="3FDE7C61"/>
    <w:rsid w:val="57FD838A"/>
    <w:rsid w:val="5BFF1B83"/>
    <w:rsid w:val="67C99D0C"/>
    <w:rsid w:val="67EE9326"/>
    <w:rsid w:val="6BEDEA1B"/>
    <w:rsid w:val="6E7F0646"/>
    <w:rsid w:val="6FFB32E9"/>
    <w:rsid w:val="77EB9A57"/>
    <w:rsid w:val="7BFEE9E4"/>
    <w:rsid w:val="7E37E9CD"/>
    <w:rsid w:val="7FAE57E4"/>
    <w:rsid w:val="7FDC41D4"/>
    <w:rsid w:val="9EFFEB25"/>
    <w:rsid w:val="AF6DFE96"/>
    <w:rsid w:val="B3E930BC"/>
    <w:rsid w:val="BB4BEB03"/>
    <w:rsid w:val="D4DD5340"/>
    <w:rsid w:val="D56718A4"/>
    <w:rsid w:val="DFF3580E"/>
    <w:rsid w:val="DFF36CBA"/>
    <w:rsid w:val="EFF711A4"/>
    <w:rsid w:val="FDB268D2"/>
    <w:rsid w:val="FDEDB377"/>
    <w:rsid w:val="FFDA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801</Words>
  <Characters>4567</Characters>
  <Lines>38</Lines>
  <Paragraphs>10</Paragraphs>
  <TotalTime>9</TotalTime>
  <ScaleCrop>false</ScaleCrop>
  <LinksUpToDate>false</LinksUpToDate>
  <CharactersWithSpaces>5358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2023-07-10T16:37:00Z</dcterms:created>
  <dc:creator>微软用户</dc:creator>
  <cp:lastModifiedBy>user</cp:lastModifiedBy>
  <dcterms:modified xsi:type="dcterms:W3CDTF">2023-08-02T16:46:52Z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