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sz w:val="32"/>
          <w:szCs w:val="32"/>
        </w:rPr>
      </w:pPr>
      <w:r>
        <w:rPr>
          <w:rFonts w:hint="eastAsia" w:ascii="黑体" w:hAnsi="黑体" w:eastAsia="黑体" w:cs="黑体"/>
          <w:sz w:val="32"/>
          <w:szCs w:val="32"/>
        </w:rPr>
        <w:t>附件4</w:t>
      </w:r>
    </w:p>
    <w:p>
      <w:pPr>
        <w:jc w:val="center"/>
        <w:rPr>
          <w:rFonts w:hint="eastAsia" w:ascii="方正小标宋简体" w:hAnsi="方正小标宋简体" w:eastAsia="方正小标宋简体" w:cs="方正小标宋简体"/>
          <w:sz w:val="36"/>
          <w:szCs w:val="36"/>
        </w:rPr>
      </w:pPr>
      <w:bookmarkStart w:id="0" w:name="_GoBack"/>
      <w:r>
        <w:rPr>
          <w:rFonts w:hint="eastAsia" w:ascii="方正小标宋简体" w:hAnsi="方正小标宋简体" w:eastAsia="方正小标宋简体" w:cs="方正小标宋简体"/>
          <w:sz w:val="36"/>
          <w:szCs w:val="36"/>
        </w:rPr>
        <w:t>本溪市文化旅游和广播电视局不予实施行政强制措施事项清单</w:t>
      </w:r>
    </w:p>
    <w:bookmarkEnd w:id="0"/>
    <w:p>
      <w:pPr>
        <w:rPr>
          <w:rFonts w:ascii="仿宋" w:hAnsi="仿宋" w:eastAsia="仿宋"/>
          <w:sz w:val="30"/>
          <w:szCs w:val="30"/>
        </w:rPr>
      </w:pPr>
      <w:r>
        <w:rPr>
          <w:rFonts w:hint="eastAsia" w:ascii="仿宋" w:hAnsi="仿宋" w:eastAsia="仿宋"/>
          <w:sz w:val="30"/>
          <w:szCs w:val="30"/>
        </w:rPr>
        <w:t>填报单位：本溪市文化旅游和广播电视局</w:t>
      </w:r>
    </w:p>
    <w:tbl>
      <w:tblPr>
        <w:tblStyle w:val="5"/>
        <w:tblW w:w="1420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75"/>
        <w:gridCol w:w="1430"/>
        <w:gridCol w:w="2743"/>
        <w:gridCol w:w="1497"/>
        <w:gridCol w:w="5387"/>
        <w:gridCol w:w="1276"/>
        <w:gridCol w:w="119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1" w:hRule="atLeast"/>
        </w:trPr>
        <w:tc>
          <w:tcPr>
            <w:tcW w:w="675" w:type="dxa"/>
            <w:vAlign w:val="center"/>
          </w:tcPr>
          <w:p>
            <w:pPr>
              <w:spacing w:line="3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1430" w:type="dxa"/>
            <w:vAlign w:val="center"/>
          </w:tcPr>
          <w:p>
            <w:pPr>
              <w:spacing w:line="3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管理领域</w:t>
            </w:r>
          </w:p>
        </w:tc>
        <w:tc>
          <w:tcPr>
            <w:tcW w:w="2743" w:type="dxa"/>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违法事项</w:t>
            </w:r>
          </w:p>
        </w:tc>
        <w:tc>
          <w:tcPr>
            <w:tcW w:w="1497" w:type="dxa"/>
            <w:vAlign w:val="center"/>
          </w:tcPr>
          <w:p>
            <w:pPr>
              <w:spacing w:line="3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适用</w:t>
            </w:r>
          </w:p>
          <w:p>
            <w:pPr>
              <w:spacing w:line="3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情形</w:t>
            </w:r>
          </w:p>
        </w:tc>
        <w:tc>
          <w:tcPr>
            <w:tcW w:w="5387" w:type="dxa"/>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法定依据</w:t>
            </w:r>
          </w:p>
        </w:tc>
        <w:tc>
          <w:tcPr>
            <w:tcW w:w="1276" w:type="dxa"/>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配套监管</w:t>
            </w:r>
          </w:p>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措施</w:t>
            </w:r>
          </w:p>
        </w:tc>
        <w:tc>
          <w:tcPr>
            <w:tcW w:w="1194" w:type="dxa"/>
            <w:vAlign w:val="center"/>
          </w:tcPr>
          <w:p>
            <w:pPr>
              <w:spacing w:line="3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权力层级</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1430" w:type="dxa"/>
            <w:vAlign w:val="center"/>
          </w:tcPr>
          <w:p>
            <w:pPr>
              <w:spacing w:line="380" w:lineRule="exact"/>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文化市场</w:t>
            </w:r>
          </w:p>
        </w:tc>
        <w:tc>
          <w:tcPr>
            <w:tcW w:w="2743" w:type="dxa"/>
            <w:vAlign w:val="center"/>
          </w:tcPr>
          <w:p>
            <w:pPr>
              <w:spacing w:line="360" w:lineRule="exac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rPr>
              <w:t>擅自从事互联网上网服务经营活动</w:t>
            </w:r>
          </w:p>
        </w:tc>
        <w:tc>
          <w:tcPr>
            <w:tcW w:w="1497"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违法行为轻微并能及时改正并关闭经营场所</w:t>
            </w:r>
          </w:p>
        </w:tc>
        <w:tc>
          <w:tcPr>
            <w:tcW w:w="5387" w:type="dxa"/>
            <w:vAlign w:val="center"/>
          </w:tcPr>
          <w:p>
            <w:pPr>
              <w:spacing w:line="240" w:lineRule="exac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rPr>
              <w:t>《互联网上网服务营业场所管理条例》第二十七条：违反本条例的规定，擅自从事互联网上网服务经营活动的，由文化行政部门或者由文化行政部门会同公安机关依法予以取缔，查封其从事违法经营活动的场所，扣押从事违法经营活动的专用工具、设备；触犯刑律的，依照刑法关于非法经营罪的规定，依法追究刑事责任；尚不够刑事处罚的，由文化行政部门没收违法所得及其从事违法经营活动的专用工具、设备；违法经营额1万元以上的，并处违法经营额5倍以上10倍以下的罚款；违法经营额不足1万元的，并处1万元以上5万元以下的罚款。</w:t>
            </w:r>
            <w:r>
              <w:rPr>
                <w:rFonts w:hint="eastAsia" w:ascii="仿宋_GB2312" w:hAnsi="仿宋_GB2312" w:eastAsia="仿宋_GB2312" w:cs="仿宋_GB2312"/>
                <w:sz w:val="21"/>
                <w:szCs w:val="21"/>
              </w:rPr>
              <w:t>《中华人民共和国行政处罚法》第三十三条</w:t>
            </w:r>
          </w:p>
        </w:tc>
        <w:tc>
          <w:tcPr>
            <w:tcW w:w="1276"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对当事人进行教育跟进复查</w:t>
            </w:r>
          </w:p>
        </w:tc>
        <w:tc>
          <w:tcPr>
            <w:tcW w:w="1194"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1430" w:type="dxa"/>
            <w:vAlign w:val="center"/>
          </w:tcPr>
          <w:p>
            <w:pPr>
              <w:spacing w:line="360" w:lineRule="exact"/>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rPr>
              <w:t>新闻出版</w:t>
            </w:r>
          </w:p>
        </w:tc>
        <w:tc>
          <w:tcPr>
            <w:tcW w:w="2743" w:type="dxa"/>
            <w:vAlign w:val="center"/>
          </w:tcPr>
          <w:p>
            <w:pPr>
              <w:spacing w:line="36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违法从事出版物出版、印刷或者复制、发行等活动</w:t>
            </w:r>
          </w:p>
        </w:tc>
        <w:tc>
          <w:tcPr>
            <w:tcW w:w="1497"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初次违法且危害后果轻微并及时改正的。</w:t>
            </w:r>
          </w:p>
        </w:tc>
        <w:tc>
          <w:tcPr>
            <w:tcW w:w="5387" w:type="dxa"/>
            <w:vAlign w:val="center"/>
          </w:tcPr>
          <w:p>
            <w:pPr>
              <w:spacing w:line="240" w:lineRule="exact"/>
              <w:rPr>
                <w:rFonts w:hint="eastAsia" w:ascii="仿宋_GB2312" w:hAnsi="仿宋_GB2312" w:eastAsia="仿宋_GB2312" w:cs="仿宋_GB2312"/>
                <w:sz w:val="21"/>
                <w:szCs w:val="21"/>
              </w:rPr>
            </w:pPr>
            <w:r>
              <w:rPr>
                <w:rFonts w:hint="eastAsia" w:ascii="仿宋_GB2312" w:hAnsi="仿宋_GB2312" w:eastAsia="仿宋_GB2312" w:cs="仿宋_GB2312"/>
                <w:kern w:val="0"/>
                <w:sz w:val="21"/>
                <w:szCs w:val="21"/>
              </w:rPr>
              <w:t>《出版管理条例》第七条：出版行政主管部门根据已经取得的违法嫌疑证据或者举报，对涉嫌违法从事出版物出版、印刷或者复制、进口、发行等活动的行为进行查处时，可以检查与涉嫌违法活动有关的物品和经营场所；对有证据证明是与违法活动有关的物品，可以查封或者扣押。</w:t>
            </w:r>
            <w:r>
              <w:rPr>
                <w:rFonts w:hint="eastAsia" w:ascii="仿宋_GB2312" w:hAnsi="仿宋_GB2312" w:eastAsia="仿宋_GB2312" w:cs="仿宋_GB2312"/>
                <w:sz w:val="21"/>
                <w:szCs w:val="21"/>
              </w:rPr>
              <w:t>《中华人民共和国行政处罚法》第三十三条</w:t>
            </w:r>
          </w:p>
        </w:tc>
        <w:tc>
          <w:tcPr>
            <w:tcW w:w="1276"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194"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675"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3</w:t>
            </w:r>
          </w:p>
        </w:tc>
        <w:tc>
          <w:tcPr>
            <w:tcW w:w="1430" w:type="dxa"/>
            <w:vAlign w:val="center"/>
          </w:tcPr>
          <w:p>
            <w:pPr>
              <w:spacing w:line="360" w:lineRule="exact"/>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广播电视</w:t>
            </w:r>
          </w:p>
        </w:tc>
        <w:tc>
          <w:tcPr>
            <w:tcW w:w="2743" w:type="dxa"/>
            <w:vAlign w:val="center"/>
          </w:tcPr>
          <w:p>
            <w:pPr>
              <w:spacing w:line="36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对有证据证明违反《中华人民共和国电影产业促进法》规定的行为</w:t>
            </w:r>
          </w:p>
        </w:tc>
        <w:tc>
          <w:tcPr>
            <w:tcW w:w="149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违法行为轻微并能及时改正</w:t>
            </w:r>
          </w:p>
        </w:tc>
        <w:tc>
          <w:tcPr>
            <w:tcW w:w="5387"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b w:val="0"/>
                <w:bCs/>
                <w:kern w:val="0"/>
                <w:sz w:val="21"/>
                <w:szCs w:val="21"/>
              </w:rPr>
              <w:t>《</w:t>
            </w:r>
            <w:r>
              <w:rPr>
                <w:rFonts w:hint="eastAsia" w:ascii="仿宋_GB2312" w:hAnsi="仿宋_GB2312" w:eastAsia="仿宋_GB2312" w:cs="仿宋_GB2312"/>
                <w:kern w:val="0"/>
                <w:sz w:val="21"/>
                <w:szCs w:val="21"/>
              </w:rPr>
              <w:t>中华人民共和国电影产业促进法》第五十七条第二款：县级以上人民政府电影主管部门对有证据证明违反本法规定的行为进行查处时，可以依法查封与违法行为有关的场所、设施或者查封、扣押用于违法行为的财物。《中华人民共和国行政处罚法》第三十三条</w:t>
            </w:r>
          </w:p>
        </w:tc>
        <w:tc>
          <w:tcPr>
            <w:tcW w:w="1276"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194"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07" w:hRule="atLeast"/>
        </w:trPr>
        <w:tc>
          <w:tcPr>
            <w:tcW w:w="675"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4</w:t>
            </w:r>
          </w:p>
        </w:tc>
        <w:tc>
          <w:tcPr>
            <w:tcW w:w="1430" w:type="dxa"/>
            <w:vAlign w:val="center"/>
          </w:tcPr>
          <w:p>
            <w:pPr>
              <w:spacing w:line="360" w:lineRule="exact"/>
              <w:jc w:val="center"/>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新闻出版</w:t>
            </w:r>
          </w:p>
        </w:tc>
        <w:tc>
          <w:tcPr>
            <w:tcW w:w="2743" w:type="dxa"/>
            <w:vAlign w:val="center"/>
          </w:tcPr>
          <w:p>
            <w:pPr>
              <w:spacing w:line="36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对涉嫌侵犯著作权违法行为的场所和物品的行政强制</w:t>
            </w:r>
          </w:p>
        </w:tc>
        <w:tc>
          <w:tcPr>
            <w:tcW w:w="1497" w:type="dxa"/>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初次违法且危害后果轻微并及时改正的。</w:t>
            </w:r>
          </w:p>
        </w:tc>
        <w:tc>
          <w:tcPr>
            <w:tcW w:w="5387" w:type="dxa"/>
            <w:vAlign w:val="center"/>
          </w:tcPr>
          <w:p>
            <w:pPr>
              <w:spacing w:line="240" w:lineRule="exac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中华人民共和国著作权法》第五十五条：主管著作权的部门对涉嫌侵犯著作权和与著作权有关的权利的行为进行查处时，可以询问有关当事人，调查与涉嫌违法行为有关的情况；对当事人涉嫌违法行为的场所和物品实施现场检查；查阅、复制与涉嫌违法行为有关的合同、发票、账簿以及其他有关资料；对于涉嫌违法行为的场所和物品，可以查封或者扣押。</w:t>
            </w:r>
          </w:p>
          <w:p>
            <w:pPr>
              <w:spacing w:line="240" w:lineRule="exact"/>
              <w:rPr>
                <w:rFonts w:hint="eastAsia" w:ascii="仿宋_GB2312" w:hAnsi="仿宋_GB2312" w:eastAsia="仿宋_GB2312" w:cs="仿宋_GB2312"/>
                <w:b/>
                <w:kern w:val="0"/>
                <w:sz w:val="21"/>
                <w:szCs w:val="21"/>
              </w:rPr>
            </w:pPr>
            <w:r>
              <w:rPr>
                <w:rFonts w:hint="eastAsia" w:ascii="仿宋_GB2312" w:hAnsi="仿宋_GB2312" w:eastAsia="仿宋_GB2312" w:cs="仿宋_GB2312"/>
                <w:kern w:val="0"/>
                <w:sz w:val="21"/>
                <w:szCs w:val="21"/>
              </w:rPr>
              <w:t>主管著作权的部门依法行使前款规定的职权时，当事人应当予以协助、配合，不得拒绝、阻挠。《中华人民共和国行政处罚法》第三十三条</w:t>
            </w:r>
          </w:p>
        </w:tc>
        <w:tc>
          <w:tcPr>
            <w:tcW w:w="1276" w:type="dxa"/>
            <w:vAlign w:val="center"/>
          </w:tcPr>
          <w:p>
            <w:pP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对当事人进行教育</w:t>
            </w:r>
          </w:p>
        </w:tc>
        <w:tc>
          <w:tcPr>
            <w:tcW w:w="1194" w:type="dxa"/>
            <w:vAlign w:val="center"/>
          </w:tcPr>
          <w:p>
            <w:pPr>
              <w:jc w:val="center"/>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市县</w:t>
            </w:r>
          </w:p>
        </w:tc>
      </w:tr>
    </w:tbl>
    <w:p>
      <w:pPr>
        <w:rPr>
          <w:rFonts w:ascii="仿宋" w:hAnsi="仿宋" w:eastAsia="仿宋"/>
          <w:sz w:val="30"/>
          <w:szCs w:val="30"/>
        </w:rPr>
      </w:pPr>
    </w:p>
    <w:sectPr>
      <w:footerReference r:id="rId3" w:type="default"/>
      <w:pgSz w:w="16838" w:h="11906" w:orient="landscape"/>
      <w:pgMar w:top="851" w:right="1440" w:bottom="1418" w:left="144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行楷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w:pict>
        <v:shape id="_x0000_s4099" o:spid="_x0000_s4099"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2"/>
                </w:pPr>
                <w:r>
                  <w:fldChar w:fldCharType="begin"/>
                </w:r>
                <w:r>
                  <w:instrText xml:space="preserve"> PAGE  \* MERGEFORMAT </w:instrText>
                </w:r>
                <w:r>
                  <w:fldChar w:fldCharType="separate"/>
                </w:r>
                <w:r>
                  <w:t>- 3 -</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585F3B"/>
    <w:rsid w:val="00057C2B"/>
    <w:rsid w:val="000C1E5A"/>
    <w:rsid w:val="001165E1"/>
    <w:rsid w:val="00135790"/>
    <w:rsid w:val="001C5DA9"/>
    <w:rsid w:val="0027703D"/>
    <w:rsid w:val="00291576"/>
    <w:rsid w:val="002D0BD2"/>
    <w:rsid w:val="00307ABC"/>
    <w:rsid w:val="003B3F8B"/>
    <w:rsid w:val="003D06CB"/>
    <w:rsid w:val="003F64AE"/>
    <w:rsid w:val="004C0495"/>
    <w:rsid w:val="005116B2"/>
    <w:rsid w:val="00513C99"/>
    <w:rsid w:val="00540046"/>
    <w:rsid w:val="00551276"/>
    <w:rsid w:val="00562616"/>
    <w:rsid w:val="00563D25"/>
    <w:rsid w:val="00582C6A"/>
    <w:rsid w:val="00585F3B"/>
    <w:rsid w:val="00625E98"/>
    <w:rsid w:val="006277E1"/>
    <w:rsid w:val="006547D7"/>
    <w:rsid w:val="006A0B80"/>
    <w:rsid w:val="007C4F29"/>
    <w:rsid w:val="007E27E5"/>
    <w:rsid w:val="00804D7D"/>
    <w:rsid w:val="008A1795"/>
    <w:rsid w:val="008C7290"/>
    <w:rsid w:val="009D69ED"/>
    <w:rsid w:val="009E5E1F"/>
    <w:rsid w:val="009F12E0"/>
    <w:rsid w:val="00A01416"/>
    <w:rsid w:val="00A43660"/>
    <w:rsid w:val="00A73C8D"/>
    <w:rsid w:val="00A750F3"/>
    <w:rsid w:val="00A758AE"/>
    <w:rsid w:val="00AA18D8"/>
    <w:rsid w:val="00B00E00"/>
    <w:rsid w:val="00B63DE6"/>
    <w:rsid w:val="00C13CF6"/>
    <w:rsid w:val="00C76AAC"/>
    <w:rsid w:val="00C830E8"/>
    <w:rsid w:val="00C94E39"/>
    <w:rsid w:val="00CC0D0A"/>
    <w:rsid w:val="00D42069"/>
    <w:rsid w:val="00D44E7D"/>
    <w:rsid w:val="00DB555A"/>
    <w:rsid w:val="00DE3A66"/>
    <w:rsid w:val="00DE4D7C"/>
    <w:rsid w:val="00E66E3E"/>
    <w:rsid w:val="00E83CFD"/>
    <w:rsid w:val="00E9356C"/>
    <w:rsid w:val="00EA1542"/>
    <w:rsid w:val="00EE3E97"/>
    <w:rsid w:val="00EF5070"/>
    <w:rsid w:val="00F47916"/>
    <w:rsid w:val="00F916E0"/>
    <w:rsid w:val="00FA7117"/>
    <w:rsid w:val="00FB10C2"/>
    <w:rsid w:val="33FD5008"/>
    <w:rsid w:val="39D73736"/>
    <w:rsid w:val="3DB55CCD"/>
    <w:rsid w:val="3FFFCF19"/>
    <w:rsid w:val="4BEF634E"/>
    <w:rsid w:val="5F97FF27"/>
    <w:rsid w:val="6F5F33BE"/>
    <w:rsid w:val="710F7672"/>
    <w:rsid w:val="779901D8"/>
    <w:rsid w:val="77EE28E3"/>
    <w:rsid w:val="79DFC905"/>
    <w:rsid w:val="7BFEFEED"/>
    <w:rsid w:val="7DC377BB"/>
    <w:rsid w:val="7EFC8A70"/>
    <w:rsid w:val="7FE7C447"/>
    <w:rsid w:val="7FF9B14E"/>
    <w:rsid w:val="ADFCCFF6"/>
    <w:rsid w:val="B3E7290B"/>
    <w:rsid w:val="BFCF61D4"/>
    <w:rsid w:val="D9CBA657"/>
    <w:rsid w:val="E5FF1A15"/>
    <w:rsid w:val="E6AB0683"/>
    <w:rsid w:val="EDEC6C9F"/>
    <w:rsid w:val="F7FFEF44"/>
    <w:rsid w:val="FA6F77B5"/>
    <w:rsid w:val="FBFB6608"/>
    <w:rsid w:val="FFD140E0"/>
    <w:rsid w:val="FFDFF2FC"/>
    <w:rsid w:val="FFFE5D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Pages>
  <Words>801</Words>
  <Characters>4567</Characters>
  <Lines>38</Lines>
  <Paragraphs>10</Paragraphs>
  <TotalTime>5</TotalTime>
  <ScaleCrop>false</ScaleCrop>
  <LinksUpToDate>false</LinksUpToDate>
  <CharactersWithSpaces>5358</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2023-07-11T00:37:00Z</dcterms:created>
  <dc:creator>微软用户</dc:creator>
  <cp:lastModifiedBy>user</cp:lastModifiedBy>
  <dcterms:modified xsi:type="dcterms:W3CDTF">2023-08-15T14:44:58Z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