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2021年涉企执法检查计划表 (第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四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季度)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本溪市文化旅游和广播电视局                                                  </w:t>
      </w:r>
    </w:p>
    <w:tbl>
      <w:tblPr>
        <w:tblStyle w:val="5"/>
        <w:tblW w:w="14414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189"/>
        <w:gridCol w:w="1905"/>
        <w:gridCol w:w="1795"/>
        <w:gridCol w:w="4970"/>
        <w:gridCol w:w="1365"/>
        <w:gridCol w:w="12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行政执法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机  关</w:t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检查的对象</w:t>
            </w: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行政执法检查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具体事项</w:t>
            </w: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行政执法检查法律依据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检查时间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检查人员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检查方式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</w:t>
            </w: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文旅局</w:t>
            </w: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从2家电子游艺经营场所项目库中按20%比例随机抽取1家</w:t>
            </w: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对娱乐场所经营活动监督检查</w:t>
            </w: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320" w:lineRule="exact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宋体" w:hAnsi="宋体" w:cs="宋体"/>
                <w:szCs w:val="21"/>
              </w:rPr>
              <w:t>《娱乐场所管理条例》第32条各级文化主管部门、公安部门和其他有关部门的工作人员依法履行监督检查职责时，有权进入娱乐场所。娱乐场所应当予以配合，不得拒绝、阻挠。文化主管部门、公安部门和其他有关部门的工作人员依法履行监督检查职责时，需要查阅闭路电视监控录像资料、从业人员名簿、营业日志等资料的，娱乐场所应当及时提供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11-12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王青松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赵强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189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90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79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497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36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60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1A2"/>
    <w:rsid w:val="00255001"/>
    <w:rsid w:val="002E7E59"/>
    <w:rsid w:val="004702B9"/>
    <w:rsid w:val="008A61A2"/>
    <w:rsid w:val="00C10C14"/>
    <w:rsid w:val="00F13A4F"/>
    <w:rsid w:val="467304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</Words>
  <Characters>375</Characters>
  <Lines>3</Lines>
  <Paragraphs>1</Paragraphs>
  <TotalTime>0</TotalTime>
  <ScaleCrop>false</ScaleCrop>
  <LinksUpToDate>false</LinksUpToDate>
  <CharactersWithSpaces>439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2021-10-14T02:20:00Z</dcterms:created>
  <dc:creator>Administrator</dc:creator>
  <cp:lastModifiedBy>Administrator</cp:lastModifiedBy>
  <cp:lastPrinted>2021-10-14T02:21:00Z</cp:lastPrinted>
  <dcterms:modified xsi:type="dcterms:W3CDTF">2021-10-15T01:47:06Z</dcterms:modified>
  <dc:title>2021年涉企执法检查计划表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