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721"/>
        <w:gridCol w:w="721"/>
        <w:gridCol w:w="721"/>
        <w:gridCol w:w="683"/>
        <w:gridCol w:w="683"/>
        <w:gridCol w:w="683"/>
        <w:gridCol w:w="683"/>
        <w:gridCol w:w="683"/>
        <w:gridCol w:w="683"/>
        <w:gridCol w:w="683"/>
        <w:gridCol w:w="683"/>
        <w:gridCol w:w="949"/>
        <w:gridCol w:w="949"/>
        <w:gridCol w:w="949"/>
        <w:gridCol w:w="949"/>
        <w:gridCol w:w="627"/>
        <w:gridCol w:w="949"/>
        <w:gridCol w:w="721"/>
        <w:gridCol w:w="949"/>
        <w:gridCol w:w="172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59" w:hRule="exact"/>
          <w:jc w:val="center"/>
        </w:trPr>
        <w:tc>
          <w:tcPr>
            <w:tcW w:w="14841" w:type="dxa"/>
            <w:gridSpan w:val="20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i w:val="0"/>
                <w:color w:val="000000"/>
                <w:sz w:val="35"/>
              </w:rPr>
              <w:t>部门（单位）整体绩效自评表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26" w:hRule="exact"/>
          <w:jc w:val="center"/>
        </w:trPr>
        <w:tc>
          <w:tcPr>
            <w:tcW w:w="14841" w:type="dxa"/>
            <w:gridSpan w:val="20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6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59" w:hRule="exact"/>
          <w:jc w:val="center"/>
        </w:trPr>
        <w:tc>
          <w:tcPr>
            <w:tcW w:w="28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部门（单位）名称</w:t>
            </w:r>
          </w:p>
        </w:tc>
        <w:tc>
          <w:tcPr>
            <w:tcW w:w="11995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040004本溪市体育彩票中心-210500000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26" w:hRule="exact"/>
          <w:jc w:val="center"/>
        </w:trPr>
        <w:tc>
          <w:tcPr>
            <w:tcW w:w="28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部门年初预算收入金额</w:t>
            </w:r>
          </w:p>
        </w:tc>
        <w:tc>
          <w:tcPr>
            <w:tcW w:w="11995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91.59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77" w:hRule="exact"/>
          <w:jc w:val="center"/>
        </w:trPr>
        <w:tc>
          <w:tcPr>
            <w:tcW w:w="28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部门年初预算支出金额</w:t>
            </w:r>
          </w:p>
        </w:tc>
        <w:tc>
          <w:tcPr>
            <w:tcW w:w="11995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91.59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886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年度主要任务</w:t>
            </w:r>
          </w:p>
        </w:tc>
        <w:tc>
          <w:tcPr>
            <w:tcW w:w="62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对应项目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项目下达金额</w:t>
            </w:r>
          </w:p>
        </w:tc>
        <w:tc>
          <w:tcPr>
            <w:tcW w:w="18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项目执行金额</w:t>
            </w: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项目执行率</w:t>
            </w:r>
          </w:p>
        </w:tc>
        <w:tc>
          <w:tcPr>
            <w:tcW w:w="1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分值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得分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5" w:hRule="exact"/>
          <w:jc w:val="center"/>
        </w:trPr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年度主要任务</w:t>
            </w:r>
          </w:p>
        </w:tc>
        <w:tc>
          <w:tcPr>
            <w:tcW w:w="62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基本支出人员经费（刚性）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50.47</w:t>
            </w:r>
          </w:p>
        </w:tc>
        <w:tc>
          <w:tcPr>
            <w:tcW w:w="18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50.22</w:t>
            </w: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99.51%</w:t>
            </w:r>
          </w:p>
        </w:tc>
        <w:tc>
          <w:tcPr>
            <w:tcW w:w="1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9.95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5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基本支出公用经费（其他）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2.8</w:t>
            </w:r>
          </w:p>
        </w:tc>
        <w:tc>
          <w:tcPr>
            <w:tcW w:w="18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2.79</w:t>
            </w: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99.99%</w:t>
            </w:r>
          </w:p>
        </w:tc>
        <w:tc>
          <w:tcPr>
            <w:tcW w:w="1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9.99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5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基本支出人员经费（其他）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44.660596</w:t>
            </w:r>
          </w:p>
        </w:tc>
        <w:tc>
          <w:tcPr>
            <w:tcW w:w="18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44.58</w:t>
            </w: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99.83%</w:t>
            </w:r>
          </w:p>
        </w:tc>
        <w:tc>
          <w:tcPr>
            <w:tcW w:w="1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9.98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5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基本支出公用经费（刚性）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5.68</w:t>
            </w:r>
          </w:p>
        </w:tc>
        <w:tc>
          <w:tcPr>
            <w:tcW w:w="18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4.53</w:t>
            </w: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79.87%</w:t>
            </w:r>
          </w:p>
        </w:tc>
        <w:tc>
          <w:tcPr>
            <w:tcW w:w="1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7.98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92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年度目标</w:t>
            </w:r>
          </w:p>
        </w:tc>
        <w:tc>
          <w:tcPr>
            <w:tcW w:w="690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年初总体目标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全年完成情况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788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年度目标</w:t>
            </w:r>
          </w:p>
        </w:tc>
        <w:tc>
          <w:tcPr>
            <w:tcW w:w="690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按着绩效考核要求，全面完成工作目标。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面完成工作目标。1、销量3.05亿元，同比增幅43.3%，市场份额61.24%占优。2、市场开放转型，实施“体彩+”8家网点、“+体彩”4家网点，拉新引流新模式，开辟跨界融合新途径。3、利用出租车顶灯和文旅活动等大力宣传体彩公益。4、完成预算收入目标，100%执行。5、重管理，营商环境氛围受点赞，开展线上和线下培训1200多次。6、防风险，市场合规监管新升级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5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绩效指标</w:t>
            </w: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一级指标</w:t>
            </w: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二级指标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三级指标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运算符号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指标值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度量单位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全年完成值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完成程度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分值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得分</w:t>
            </w:r>
          </w:p>
        </w:tc>
        <w:tc>
          <w:tcPr>
            <w:tcW w:w="44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偏差原因分析</w:t>
            </w:r>
          </w:p>
        </w:tc>
        <w:tc>
          <w:tcPr>
            <w:tcW w:w="2791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绩效指标</w:t>
            </w: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经费保障原因分析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制度保障原因分析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人员保障原因分析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硬件条件保障原因分析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其他原因分析</w:t>
            </w:r>
          </w:p>
        </w:tc>
        <w:tc>
          <w:tcPr>
            <w:tcW w:w="2791" w:type="dxa"/>
            <w:gridSpan w:val="4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6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履职效能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重点工作履行情况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综合管理水平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管理规范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全部或基本达成预期指标100%-80%（含）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履职效能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重点工作履行情况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重点工作办结率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整体工作完成情况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总体工作完成率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工作完成及时率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工作质量达标率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预算执行</w:t>
            </w: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预算执行效率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结转结余变动率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&lt;=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1.6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1.6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87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预算执行率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1.6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1.6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87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预算调整率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&lt;=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1.8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1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管理效率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预算编制管理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预算绩效目标覆盖率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6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预算监督管理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预决算公开情况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全部公开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全部或基本达成预期指标100%-80%（含）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6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预算收支管理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预算支出管理规范性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管理规范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全部或基本达成预期指标100%-80%（含）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6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预算收入管理规范性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管理规范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全部或基本达成预期指标100%-80%（含）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6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财务管理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内控制度有效性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制度有效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全部或基本达成预期指标100%-80%（含）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资产管理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固定资产利用率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0.8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0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业务管理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政府采购管理违法违规行为发生次数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&lt;=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次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0.7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1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运行成本</w:t>
            </w: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成本控制成效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“三公”经费变动率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&lt;=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2.5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在职人员控制率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&lt;=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2.5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75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社会效应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社会效益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发布辽宁体彩社会责任报告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份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服务对象满意度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参训人员满意度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625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“走进双色球、刮刮乐活动”彩民参与满意度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1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体彩销售网点满意度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社会公众满意度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社会民众满意度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6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可持续性</w:t>
            </w: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体制机制改革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彩票机构运行平稳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管理规范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全部或基本达成预期指标100%-80%（含）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2.5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6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多部门协同联动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管理规范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全部或基本达成预期指标100%-80%（含）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2.5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7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762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</w:rPr>
              <w:t>总评价得分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</w:rPr>
              <w:t>97.9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79" w:hRule="exact"/>
          <w:jc w:val="center"/>
        </w:trPr>
        <w:tc>
          <w:tcPr>
            <w:tcW w:w="216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结果应用建议</w:t>
            </w:r>
          </w:p>
        </w:tc>
        <w:tc>
          <w:tcPr>
            <w:tcW w:w="546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结果应用建议选项</w:t>
            </w: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0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建议进一步规范预算管理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合理规范预算管理，希望财政能按预算全部拨款，按单位实际需求合理拨付资金，规范单位预算管理。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建议改进业务管理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建议改进预算编制管理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建议进一步提升预算执行效率和效益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建议改进资产管理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建议改进政府采购管理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建议调整公共服务标准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结果应用建议_建议核减下一年度经费数额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建议消减低效、无效资金或结构调整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建议回收长期沉淀的资金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其他建议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59" w:hRule="exact"/>
          <w:jc w:val="center"/>
        </w:trPr>
        <w:tc>
          <w:tcPr>
            <w:tcW w:w="216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主管部门审核意见</w:t>
            </w: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建议继续全额安排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建议继续安排，按规定调整下一年度预算金额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规范预算管理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改进业务管理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改进预算编制管理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提升预算执行效率和效益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改进资产管理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改进政府采购管理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调整公共服务标准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削减低效、无效资金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对资金结构进行调整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收回长期沉淀的资金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其他意见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主管部门总体意见</w:t>
            </w:r>
          </w:p>
        </w:tc>
        <w:tc>
          <w:tcPr>
            <w:tcW w:w="12678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财政部门审核意见</w:t>
            </w: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建议继续全额安排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建议继续安排，按规定调整下一年度预算金额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规范预算管理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改进业务管理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改进预算编制管理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提升预算执行效率和效益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改进资产管理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改进政府采购管理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调整公共服务标准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削减低效、无效资金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对资金结构进行调整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收回长期沉淀的资金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05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其他意见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建议加快体育彩票公益金预算执行进度，强化资金全过程监管和绩效管理，不断提升彩票公益金惠民实效。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财政部门总体意见</w:t>
            </w:r>
          </w:p>
        </w:tc>
        <w:tc>
          <w:tcPr>
            <w:tcW w:w="12678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建议严格遵守体彩公益金管理相关规定，规范资金使用流程，强化绩效跟踪，切实提升公益金普惠利民社会效益。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4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72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71" w:hRule="exact"/>
          <w:jc w:val="center"/>
        </w:trPr>
        <w:tc>
          <w:tcPr>
            <w:tcW w:w="13720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35"/>
              </w:rPr>
              <w:t>预算项目(政策)绩效自评表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13720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6"/>
              </w:rPr>
              <w:t>(2025年度)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项目(政策)名称</w:t>
            </w:r>
          </w:p>
        </w:tc>
        <w:tc>
          <w:tcPr>
            <w:tcW w:w="115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彩票销售机构业务经费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主管部门</w:t>
            </w:r>
          </w:p>
        </w:tc>
        <w:tc>
          <w:tcPr>
            <w:tcW w:w="115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本溪市文化旅游和广播电视局-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实施单位</w:t>
            </w:r>
          </w:p>
        </w:tc>
        <w:tc>
          <w:tcPr>
            <w:tcW w:w="115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本溪市体育彩票中心-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项目预算金额（万元）</w:t>
            </w:r>
          </w:p>
        </w:tc>
        <w:tc>
          <w:tcPr>
            <w:tcW w:w="2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19.43</w:t>
            </w:r>
          </w:p>
        </w:tc>
        <w:tc>
          <w:tcPr>
            <w:tcW w:w="2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全年执行数</w:t>
            </w:r>
          </w:p>
        </w:tc>
        <w:tc>
          <w:tcPr>
            <w:tcW w:w="42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19.43</w:t>
            </w:r>
          </w:p>
        </w:tc>
        <w:tc>
          <w:tcPr>
            <w:tcW w:w="2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执行率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100%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8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年度总体目标</w:t>
            </w:r>
          </w:p>
        </w:tc>
        <w:tc>
          <w:tcPr>
            <w:tcW w:w="62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年初设定目标</w:t>
            </w:r>
          </w:p>
        </w:tc>
        <w:tc>
          <w:tcPr>
            <w:tcW w:w="677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全年实际完成情况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690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年度总体目标</w:t>
            </w:r>
          </w:p>
        </w:tc>
        <w:tc>
          <w:tcPr>
            <w:tcW w:w="62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加大体育彩票社会宣传力度，网点培训频次，拓展体育彩票市场，增大彩民群体、增加体育彩票市场份额，保障体育彩票业务工作顺利开展。</w:t>
            </w:r>
          </w:p>
        </w:tc>
        <w:tc>
          <w:tcPr>
            <w:tcW w:w="677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、全年完成销量3.05亿元，同比增幅43.3%，市场份额增加至61.24%占优。2、筹集体育彩票公益金1600余万元。2、拓展市场开放转型，实施“体彩+”8家网点、“+体彩”4家网点，拉新引流新模式，开辟跨界融合新途径。3、加大体育彩票社会宣传力度，利用出租车顶灯和文旅活动等大力宣传体彩公益。4、开展线上和线下网点培训1200多次。保障体育彩票工作按绩效目标完成。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绩效指标</w:t>
            </w: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一级指标</w:t>
            </w: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二级指标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三级指标</w:t>
            </w:r>
          </w:p>
        </w:tc>
        <w:tc>
          <w:tcPr>
            <w:tcW w:w="2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年度目标值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全年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完成值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完成程度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分值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得分</w:t>
            </w:r>
          </w:p>
        </w:tc>
        <w:tc>
          <w:tcPr>
            <w:tcW w:w="53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未完成原因分析</w:t>
            </w: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改进措施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5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运算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符号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内容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度量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单位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经费保障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制度保障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人员保障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硬件条件保障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其他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原因说明</w:t>
            </w: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产出指标</w:t>
            </w: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数量指标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彩票销售网点数量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个数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1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彩票销售额与上年相比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0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质量指标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延时开奖等彩票销售安全事故发生率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&lt;=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12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宣传策划类活动完成率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时效指标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彩票公告及时率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050" w:hRule="exact"/>
          <w:jc w:val="center"/>
        </w:trPr>
        <w:tc>
          <w:tcPr>
            <w:tcW w:w="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效益指标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社会效益指标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彩票公益金筹集量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&gt;=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800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万元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800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62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绩效指标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效益指标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社会效益指标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国家彩票公益属性和社会责任宣传力度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完成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全部或基本达成预期指标100%-80%（含）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20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指标自评得分小计</w:t>
            </w:r>
          </w:p>
        </w:tc>
        <w:tc>
          <w:tcPr>
            <w:tcW w:w="2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90</w:t>
            </w:r>
          </w:p>
        </w:tc>
        <w:tc>
          <w:tcPr>
            <w:tcW w:w="2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预算执行率得分</w:t>
            </w:r>
          </w:p>
        </w:tc>
        <w:tc>
          <w:tcPr>
            <w:tcW w:w="13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</w:t>
            </w:r>
          </w:p>
        </w:tc>
        <w:tc>
          <w:tcPr>
            <w:tcW w:w="18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减分项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2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绩效自评总得分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100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结果应用建议</w:t>
            </w:r>
          </w:p>
        </w:tc>
        <w:tc>
          <w:tcPr>
            <w:tcW w:w="546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结果应用建议选项</w:t>
            </w: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具体建议内容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改进预算项目管理（改进措施和方式）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规范财政资金管理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完善制度设计，建议进行政策调整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政策到期，建议重新发布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74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建议调整公共服务标准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√</w:t>
            </w: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建议调整公共服务标准需以民生需求为核心，推广“互联网+公共服务”标准，推动城市公共服务标准一体化。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不再继续安排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减少或取消安排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结构调整，压低效补高效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预算一次核定、资金分年度拨付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其他建议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43" w:hRule="exact"/>
          <w:jc w:val="center"/>
        </w:trPr>
        <w:tc>
          <w:tcPr>
            <w:tcW w:w="216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主管部门审核意见</w:t>
            </w: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建议继续全额安排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√</w:t>
            </w: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建议继续全额安排，是保证体育彩票销售的经费。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建议继续安排，按规定调整下一年度预算金额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改进预算项目管理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规范财政资金管理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进行政策调整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政策到期重新发布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调整公共服务标准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其他意见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财政部门审核意见</w:t>
            </w: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建议继续全额安排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建议继续安排，按规定调整下一年度预算金额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改进预算项目管理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40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规范财政资金管理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√</w:t>
            </w: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建议规范财政资金使用和管理，强化成本核算与费用管控，不断提升彩票机构日常运转财政资金精细化管理水平。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进行政策调整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政策到期重新发布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2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调整公共服务标准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91" w:hRule="exact"/>
          <w:jc w:val="center"/>
        </w:trPr>
        <w:tc>
          <w:tcPr>
            <w:tcW w:w="216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其他意见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√</w:t>
            </w:r>
          </w:p>
        </w:tc>
        <w:tc>
          <w:tcPr>
            <w:tcW w:w="60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建议防范行业运营风险，提升彩票业务运转资金统筹使用效率。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3" w:hRule="exact"/>
          <w:jc w:val="center"/>
        </w:trPr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2"/>
              </w:rPr>
              <w:t>财政部门总体意见</w:t>
            </w:r>
          </w:p>
        </w:tc>
        <w:tc>
          <w:tcPr>
            <w:tcW w:w="115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2"/>
              </w:rPr>
              <w:t>建议持续优化年度经费预算编制，强化全过程动态监管，验收财经纪律和彩票行业监管相关要求，统筹保障彩票事业健康平稳发展。</w:t>
            </w:r>
          </w:p>
        </w:tc>
        <w:tc>
          <w:tcPr>
            <w:tcW w:w="949" w:type="dxa"/>
            <w:tcBorders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72" w:type="dxa"/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</w:tbl>
    <w:p/>
    <w:p/>
    <w:sectPr>
      <w:footerReference r:id="rId3" w:type="default"/>
      <w:pgSz w:w="16839" w:h="11907" w:orient="landscape"/>
      <w:pgMar w:top="567" w:right="1701" w:bottom="567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A73C412"/>
    <w:rsid w:val="EA73C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2026-09-01T14:09:00Z</dcterms:created>
  <dc:creator>user</dc:creator>
  <cp:lastModifiedBy>user</cp:lastModifiedBy>
  <dcterms:modified xsi:type="dcterms:W3CDTF">2026-09-01T14:10:34Z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