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896"/>
        <w:gridCol w:w="896"/>
        <w:gridCol w:w="883"/>
        <w:gridCol w:w="1320"/>
        <w:gridCol w:w="588"/>
        <w:gridCol w:w="1056"/>
        <w:gridCol w:w="586"/>
        <w:gridCol w:w="865"/>
        <w:gridCol w:w="532"/>
        <w:gridCol w:w="530"/>
        <w:gridCol w:w="528"/>
        <w:gridCol w:w="498"/>
        <w:gridCol w:w="485"/>
        <w:gridCol w:w="605"/>
        <w:gridCol w:w="528"/>
        <w:gridCol w:w="528"/>
        <w:gridCol w:w="941"/>
        <w:gridCol w:w="1035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1330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0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6" w:hRule="exact"/>
          <w:jc w:val="center"/>
        </w:trPr>
        <w:tc>
          <w:tcPr>
            <w:tcW w:w="1330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8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项目(政策)名称</w:t>
            </w:r>
          </w:p>
        </w:tc>
        <w:tc>
          <w:tcPr>
            <w:tcW w:w="106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文旅体场馆运行维护费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</w:t>
            </w:r>
          </w:p>
        </w:tc>
        <w:tc>
          <w:tcPr>
            <w:tcW w:w="106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本溪市文化旅游和广播电视局-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实施单位</w:t>
            </w:r>
          </w:p>
        </w:tc>
        <w:tc>
          <w:tcPr>
            <w:tcW w:w="106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本溪市文化事业发展服务中心-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项目预算金额（万元）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179.77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全年执行数</w:t>
            </w:r>
          </w:p>
        </w:tc>
        <w:tc>
          <w:tcPr>
            <w:tcW w:w="26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80.41</w:t>
            </w:r>
          </w:p>
        </w:tc>
        <w:tc>
          <w:tcPr>
            <w:tcW w:w="19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执行率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44.73%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2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年初设定目标</w:t>
            </w:r>
          </w:p>
        </w:tc>
        <w:tc>
          <w:tcPr>
            <w:tcW w:w="51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全年实际完成情况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2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非税收入： 一、少儿体校民事判决书、劳动仲裁判决书：19.5万。           二、.车位管理系统维护费2万元，车库卷帘门更换：29个×1500（电动卷帘）=4.35万元；           三、市文化体育辅导中心运行经费5万元。           合计：30.85万元政府性基金：一、体育馆35.5万元：1.体育馆门窗维修11万元、2.体育馆广场台阶维修20万；3.体育馆广场绿化2万元；4.其它设施设备维修2万元。            二、少儿体校燃气费33万元。            三、田径学校28万元： 1.器材、水暖、电路日常维护、维修维护7万元；2.住建局垃圾清运费除雪1万元；3.田径学校学生宿舍食堂维修改造20万元。              合计：96.5万元</w:t>
            </w:r>
          </w:p>
        </w:tc>
        <w:tc>
          <w:tcPr>
            <w:tcW w:w="51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全面完善基本公共体育服务体系，着力实施全民健身工程。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一级指标</w:t>
            </w:r>
          </w:p>
        </w:tc>
        <w:tc>
          <w:tcPr>
            <w:tcW w:w="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二级指标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三级指标</w:t>
            </w:r>
          </w:p>
        </w:tc>
        <w:tc>
          <w:tcPr>
            <w:tcW w:w="2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年度目标值</w:t>
            </w:r>
          </w:p>
        </w:tc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完成值</w:t>
            </w:r>
          </w:p>
        </w:tc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完成程度</w:t>
            </w:r>
          </w:p>
        </w:tc>
        <w:tc>
          <w:tcPr>
            <w:tcW w:w="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分值</w:t>
            </w:r>
          </w:p>
        </w:tc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得分</w:t>
            </w:r>
          </w:p>
        </w:tc>
        <w:tc>
          <w:tcPr>
            <w:tcW w:w="35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未完成原因分析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79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符号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内容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单位</w:t>
            </w:r>
          </w:p>
        </w:tc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经费保障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制度保障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人员保障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硬件条件保障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原因说明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产出指标</w:t>
            </w:r>
          </w:p>
        </w:tc>
        <w:tc>
          <w:tcPr>
            <w:tcW w:w="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数量指标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举办青少年体育赛事项数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项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馆内体育设施数量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个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质量指标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体育设施完好率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体育场馆使用率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5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社会效益指标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体育设施利用率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31" w:hRule="exact"/>
          <w:jc w:val="center"/>
        </w:trPr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可持续影响指标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提升全省体育事业发展影响力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定量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全部或基本达成预期指标100%-80%（含）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79" w:hRule="exact"/>
          <w:jc w:val="center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满意度指标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服务对象满意度指标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社会体育指导员培训人员满意度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指标自评得分小计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1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预算执行率得分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4.47</w:t>
            </w:r>
          </w:p>
        </w:tc>
        <w:tc>
          <w:tcPr>
            <w:tcW w:w="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减分项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35.47316354</w:t>
            </w:r>
          </w:p>
        </w:tc>
        <w:tc>
          <w:tcPr>
            <w:tcW w:w="19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绩效自评总得分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</w:t>
            </w:r>
          </w:p>
        </w:tc>
        <w:tc>
          <w:tcPr>
            <w:tcW w:w="60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结果应用建议选项</w:t>
            </w: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改进预算项目管理（改进措施和方式）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加强预算管理的任务和目标，依法行政、依法理财充分发挥职能作用，进一步加强政府管理建设，规范预算编制管理。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完善制度设计，建议进行政策调整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政策到期，建议重新发布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建议调整公共服务标准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不再继续安排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减少或取消安排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03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结构调整，压低效补高效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预算一次核定、资金分年度拨付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其他建议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主管部门审核意见</w:t>
            </w: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此项目是维修场馆的资金，建议继续全额安排。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财政部门审核意见</w:t>
            </w: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建议从严把控运维成本，精打细算节约开支，规范财政资金管理，不短提升场馆运营类财政资金管理使用水平。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9" w:hRule="exact"/>
          <w:jc w:val="center"/>
        </w:trPr>
        <w:tc>
          <w:tcPr>
            <w:tcW w:w="26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0" w:hRule="exact"/>
          <w:jc w:val="center"/>
        </w:trPr>
        <w:tc>
          <w:tcPr>
            <w:tcW w:w="2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财政部门总体意见</w:t>
            </w:r>
          </w:p>
        </w:tc>
        <w:tc>
          <w:tcPr>
            <w:tcW w:w="106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建议科学测算运维保障需求，强化全年预算执行节奏管控，深挖场馆综合利用效能，不断提升资金使用效率。</w:t>
            </w:r>
          </w:p>
        </w:tc>
      </w:tr>
    </w:tbl>
    <w:p>
      <w:pPr>
        <w:sectPr>
          <w:footerReference r:id="rId3" w:type="default"/>
          <w:pgSz w:w="16839" w:h="11907"/>
          <w:pgMar w:top="567" w:right="1701" w:bottom="567" w:left="1701" w:header="720" w:footer="720" w:gutter="0"/>
          <w:cols w:space="720" w:num="1"/>
        </w:sectPr>
      </w:pPr>
    </w:p>
    <w:tbl>
      <w:tblPr>
        <w:tblStyle w:val="3"/>
        <w:tblW w:w="14100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949"/>
        <w:gridCol w:w="949"/>
        <w:gridCol w:w="936"/>
        <w:gridCol w:w="1398"/>
        <w:gridCol w:w="621"/>
        <w:gridCol w:w="1122"/>
        <w:gridCol w:w="623"/>
        <w:gridCol w:w="916"/>
        <w:gridCol w:w="563"/>
        <w:gridCol w:w="565"/>
        <w:gridCol w:w="557"/>
        <w:gridCol w:w="527"/>
        <w:gridCol w:w="512"/>
        <w:gridCol w:w="640"/>
        <w:gridCol w:w="557"/>
        <w:gridCol w:w="557"/>
        <w:gridCol w:w="1002"/>
        <w:gridCol w:w="1106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73" w:hRule="exact"/>
          <w:jc w:val="center"/>
        </w:trPr>
        <w:tc>
          <w:tcPr>
            <w:tcW w:w="1410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0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66" w:hRule="exact"/>
          <w:jc w:val="center"/>
        </w:trPr>
        <w:tc>
          <w:tcPr>
            <w:tcW w:w="1410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8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项目(政策)名称</w:t>
            </w:r>
          </w:p>
        </w:tc>
        <w:tc>
          <w:tcPr>
            <w:tcW w:w="1126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图书文献资料购置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</w:t>
            </w:r>
          </w:p>
        </w:tc>
        <w:tc>
          <w:tcPr>
            <w:tcW w:w="1126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本溪市文化旅游和广播电视局-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实施单位</w:t>
            </w:r>
          </w:p>
        </w:tc>
        <w:tc>
          <w:tcPr>
            <w:tcW w:w="1126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本溪市文化事业发展服务中心-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项目预算金额（万元）</w:t>
            </w:r>
          </w:p>
        </w:tc>
        <w:tc>
          <w:tcPr>
            <w:tcW w:w="3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20</w:t>
            </w:r>
          </w:p>
        </w:tc>
        <w:tc>
          <w:tcPr>
            <w:tcW w:w="2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全年执行数</w:t>
            </w:r>
          </w:p>
        </w:tc>
        <w:tc>
          <w:tcPr>
            <w:tcW w:w="2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19.84</w:t>
            </w:r>
          </w:p>
        </w:tc>
        <w:tc>
          <w:tcPr>
            <w:tcW w:w="2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执行率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99.21%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6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年初设定目标</w:t>
            </w:r>
          </w:p>
        </w:tc>
        <w:tc>
          <w:tcPr>
            <w:tcW w:w="54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全年实际完成情况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6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全国公共图书馆评估定级工作达标</w:t>
            </w:r>
          </w:p>
        </w:tc>
        <w:tc>
          <w:tcPr>
            <w:tcW w:w="54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合理有效的购书经费，最大限度地满足读者需求，提高馆藏利用率和读者文献需求满足率，建立符合本馆服务定位的特色藏书体系。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一级指标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二级指标</w:t>
            </w:r>
          </w:p>
        </w:tc>
        <w:tc>
          <w:tcPr>
            <w:tcW w:w="1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三级指标</w:t>
            </w:r>
          </w:p>
        </w:tc>
        <w:tc>
          <w:tcPr>
            <w:tcW w:w="2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年度目标值</w:t>
            </w:r>
          </w:p>
        </w:tc>
        <w:tc>
          <w:tcPr>
            <w:tcW w:w="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完成值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完成程度</w:t>
            </w:r>
          </w:p>
        </w:tc>
        <w:tc>
          <w:tcPr>
            <w:tcW w:w="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分值</w:t>
            </w:r>
          </w:p>
        </w:tc>
        <w:tc>
          <w:tcPr>
            <w:tcW w:w="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得分</w:t>
            </w:r>
          </w:p>
        </w:tc>
        <w:tc>
          <w:tcPr>
            <w:tcW w:w="37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未完成原因分析</w:t>
            </w: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9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符号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内容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单位</w:t>
            </w:r>
          </w:p>
        </w:tc>
        <w:tc>
          <w:tcPr>
            <w:tcW w:w="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经费保障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制度保障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人员保障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硬件条件保障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原因说明</w:t>
            </w: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产出指标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数量指标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数据库购置数量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12000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个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12000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质量指标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购置图书质量合格率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时效指标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购置图书的及时性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&lt;=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月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成本指标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购置图书成本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&lt;=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287.3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万元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287.3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1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社会效益指标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借阅图书的人数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100000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人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100000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703" w:hRule="exact"/>
          <w:jc w:val="center"/>
        </w:trPr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可持续影响指标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借阅图书人数增长率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15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15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√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其他:人口逐年减少，适龄阅读群体（青少年、学生、在职人群）规模收缩。老龄化加剧，老年群体阅读群体减少。纸质图书借阅意愿偏弱。</w:t>
            </w:r>
          </w:p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其他:电子书、有声书、短视频、知识平台普及，线上阅读替代线下阅读效应显著，数字资源（数据库、电子图书、微信端服务）使用量持续上升，进一步分流线下借阅人群。</w:t>
            </w:r>
          </w:p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9" w:hRule="exact"/>
          <w:jc w:val="center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满意度指标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服务对象满意度指标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借阅人的满意度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指标自评得分小计</w:t>
            </w:r>
          </w:p>
        </w:tc>
        <w:tc>
          <w:tcPr>
            <w:tcW w:w="3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2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预算执行率得分</w:t>
            </w:r>
          </w:p>
        </w:tc>
        <w:tc>
          <w:tcPr>
            <w:tcW w:w="1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9.92</w:t>
            </w:r>
          </w:p>
        </w:tc>
        <w:tc>
          <w:tcPr>
            <w:tcW w:w="10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减分项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0</w:t>
            </w:r>
          </w:p>
        </w:tc>
        <w:tc>
          <w:tcPr>
            <w:tcW w:w="2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绩效自评总得分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99.92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</w:t>
            </w:r>
          </w:p>
        </w:tc>
        <w:tc>
          <w:tcPr>
            <w:tcW w:w="63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结果应用建议选项</w:t>
            </w: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改进预算项目管理（改进措施和方式）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结合采购结果中的具体信息，如中标供应商、中标金额、采购内容，图书馆实际需求和发展规划，确保图书文献资料的购置能够有效支持图书的服务和功能。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完善制度设计，建议进行政策调整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政策到期，建议重新发布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建议调整公共服务标准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不再继续安排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减少或取消安排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6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结构调整，压低效补高效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预算一次核定、资金分年度拨付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其他建议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主管部门审核意见</w:t>
            </w: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此项目是保证图书馆正常运行的经费，建议继续全额安排。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财政部门审核意见</w:t>
            </w: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9" w:hRule="exact"/>
          <w:jc w:val="center"/>
        </w:trPr>
        <w:tc>
          <w:tcPr>
            <w:tcW w:w="283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建议后续提升资金使用效能与馆藏资源服务效能，做好全过程绩效管理，实现财政资金精准投入、高效使用。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2" w:hRule="exact"/>
          <w:jc w:val="center"/>
        </w:trPr>
        <w:tc>
          <w:tcPr>
            <w:tcW w:w="2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财政部门总体意见</w:t>
            </w:r>
          </w:p>
        </w:tc>
        <w:tc>
          <w:tcPr>
            <w:tcW w:w="1126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建议持续跟踪预算执行进度，不断提升财政资金整体使用效能。</w:t>
            </w:r>
          </w:p>
        </w:tc>
      </w:tr>
    </w:tbl>
    <w:p>
      <w:pPr>
        <w:sectPr>
          <w:pgSz w:w="16839" w:h="11907" w:orient="landscape"/>
          <w:pgMar w:top="567" w:right="1701" w:bottom="567" w:left="1701" w:header="720" w:footer="720" w:gutter="0"/>
          <w:cols w:space="720" w:num="1"/>
        </w:sectPr>
      </w:pPr>
    </w:p>
    <w:tbl>
      <w:tblPr>
        <w:tblStyle w:val="3"/>
        <w:tblW w:w="14520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978"/>
        <w:gridCol w:w="978"/>
        <w:gridCol w:w="961"/>
        <w:gridCol w:w="1440"/>
        <w:gridCol w:w="639"/>
        <w:gridCol w:w="1156"/>
        <w:gridCol w:w="638"/>
        <w:gridCol w:w="944"/>
        <w:gridCol w:w="584"/>
        <w:gridCol w:w="583"/>
        <w:gridCol w:w="575"/>
        <w:gridCol w:w="542"/>
        <w:gridCol w:w="528"/>
        <w:gridCol w:w="658"/>
        <w:gridCol w:w="575"/>
        <w:gridCol w:w="575"/>
        <w:gridCol w:w="1029"/>
        <w:gridCol w:w="1137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1452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0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1452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8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项目(政策)名称</w:t>
            </w:r>
          </w:p>
        </w:tc>
        <w:tc>
          <w:tcPr>
            <w:tcW w:w="1160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省常规比赛经费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</w:t>
            </w:r>
          </w:p>
        </w:tc>
        <w:tc>
          <w:tcPr>
            <w:tcW w:w="1160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本溪市文化旅游和广播电视局-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实施单位</w:t>
            </w:r>
          </w:p>
        </w:tc>
        <w:tc>
          <w:tcPr>
            <w:tcW w:w="1160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本溪市文化事业发展服务中心-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项目预算金额（万元）</w:t>
            </w:r>
          </w:p>
        </w:tc>
        <w:tc>
          <w:tcPr>
            <w:tcW w:w="3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227.37</w:t>
            </w:r>
          </w:p>
        </w:tc>
        <w:tc>
          <w:tcPr>
            <w:tcW w:w="21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全年执行数</w:t>
            </w:r>
          </w:p>
        </w:tc>
        <w:tc>
          <w:tcPr>
            <w:tcW w:w="28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15.65</w:t>
            </w:r>
          </w:p>
        </w:tc>
        <w:tc>
          <w:tcPr>
            <w:tcW w:w="2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执行率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6.88%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9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年初设定目标</w:t>
            </w:r>
          </w:p>
        </w:tc>
        <w:tc>
          <w:tcPr>
            <w:tcW w:w="56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全年实际完成情况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9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增强全民体质，加强体育后备人才培养，体育强市</w:t>
            </w:r>
          </w:p>
        </w:tc>
        <w:tc>
          <w:tcPr>
            <w:tcW w:w="56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全面完成工作。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一级指标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二级指标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三级指标</w:t>
            </w:r>
          </w:p>
        </w:tc>
        <w:tc>
          <w:tcPr>
            <w:tcW w:w="24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年度目标值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完成值</w:t>
            </w:r>
          </w:p>
        </w:tc>
        <w:tc>
          <w:tcPr>
            <w:tcW w:w="5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完成程度</w:t>
            </w:r>
          </w:p>
        </w:tc>
        <w:tc>
          <w:tcPr>
            <w:tcW w:w="5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分值</w:t>
            </w:r>
          </w:p>
        </w:tc>
        <w:tc>
          <w:tcPr>
            <w:tcW w:w="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得分</w:t>
            </w:r>
          </w:p>
        </w:tc>
        <w:tc>
          <w:tcPr>
            <w:tcW w:w="39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未完成原因分析</w:t>
            </w:r>
          </w:p>
        </w:tc>
        <w:tc>
          <w:tcPr>
            <w:tcW w:w="11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符号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内容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单位</w:t>
            </w: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经费保障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制度保障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人员保障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硬件条件保障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原因说明</w:t>
            </w:r>
          </w:p>
        </w:tc>
        <w:tc>
          <w:tcPr>
            <w:tcW w:w="11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产出指标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数量指标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参加比赛人次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人次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900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比赛完成率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质量指标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开展省级青少年比赛成功率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比赛任务完成率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12.5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社会效益指标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促进竞技体育发展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定量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全部或基本达成预期指标100%-80%（含）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20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可持续影响指标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提高全省青少年体育事业影响力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定量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全部或基本达成预期指标100%-80%（含）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20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指标自评得分小计</w:t>
            </w:r>
          </w:p>
        </w:tc>
        <w:tc>
          <w:tcPr>
            <w:tcW w:w="3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21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预算执行率得分</w:t>
            </w:r>
          </w:p>
        </w:tc>
        <w:tc>
          <w:tcPr>
            <w:tcW w:w="1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0.69</w:t>
            </w: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减分项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31.68814268</w:t>
            </w:r>
          </w:p>
        </w:tc>
        <w:tc>
          <w:tcPr>
            <w:tcW w:w="2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绩效自评总得分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</w:t>
            </w:r>
          </w:p>
        </w:tc>
        <w:tc>
          <w:tcPr>
            <w:tcW w:w="65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结果应用建议选项</w:t>
            </w: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改进预算项目管理（改进措施和方式）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加强预算管理的任务和目标，依法行政，依法理财充分发挥财政职能作用，进一步加强政府管理建设，规范预算编制管理。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完善制度设计，建议进行政策调整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政策到期，建议重新发布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建议调整公共服务标准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不再继续安排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减少或取消安排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结构调整，压低效补高效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预算一次核定、资金分年度拨付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其他建议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主管部门审核意见</w:t>
            </w: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保证各项赛事正常运行的经费，建议继续全额安排。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财政部门审核意见</w:t>
            </w: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" w:hRule="exact"/>
          <w:jc w:val="center"/>
        </w:trPr>
        <w:tc>
          <w:tcPr>
            <w:tcW w:w="291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建议合力统筹赛事参赛计划，从严压缩非必要开支，精打细算使用比赛专项财政资金，提高资金使用效益。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8" w:hRule="exact"/>
          <w:jc w:val="center"/>
        </w:trPr>
        <w:tc>
          <w:tcPr>
            <w:tcW w:w="2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财政部门总体意见</w:t>
            </w:r>
          </w:p>
        </w:tc>
        <w:tc>
          <w:tcPr>
            <w:tcW w:w="1160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建议持续优化赛事经费全过程监管，强化动态监控，最大限度发挥专项比赛经费综合效益。</w:t>
            </w:r>
          </w:p>
        </w:tc>
      </w:tr>
    </w:tbl>
    <w:p>
      <w:pPr>
        <w:sectPr>
          <w:pgSz w:w="16839" w:h="11907" w:orient="landscape"/>
          <w:pgMar w:top="567" w:right="1701" w:bottom="567" w:left="1701" w:header="720" w:footer="720" w:gutter="0"/>
          <w:cols w:space="720" w:num="1"/>
        </w:sectPr>
      </w:pPr>
    </w:p>
    <w:tbl>
      <w:tblPr>
        <w:tblStyle w:val="3"/>
        <w:tblW w:w="14300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963"/>
        <w:gridCol w:w="963"/>
        <w:gridCol w:w="949"/>
        <w:gridCol w:w="1420"/>
        <w:gridCol w:w="631"/>
        <w:gridCol w:w="1136"/>
        <w:gridCol w:w="632"/>
        <w:gridCol w:w="930"/>
        <w:gridCol w:w="571"/>
        <w:gridCol w:w="571"/>
        <w:gridCol w:w="567"/>
        <w:gridCol w:w="536"/>
        <w:gridCol w:w="522"/>
        <w:gridCol w:w="647"/>
        <w:gridCol w:w="567"/>
        <w:gridCol w:w="567"/>
        <w:gridCol w:w="1013"/>
        <w:gridCol w:w="1115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83" w:hRule="exact"/>
          <w:jc w:val="center"/>
        </w:trPr>
        <w:tc>
          <w:tcPr>
            <w:tcW w:w="1430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0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75" w:hRule="exact"/>
          <w:jc w:val="center"/>
        </w:trPr>
        <w:tc>
          <w:tcPr>
            <w:tcW w:w="1430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8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项目(政策)名称</w:t>
            </w:r>
          </w:p>
        </w:tc>
        <w:tc>
          <w:tcPr>
            <w:tcW w:w="114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青少年竞技体育项目经费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</w:t>
            </w:r>
          </w:p>
        </w:tc>
        <w:tc>
          <w:tcPr>
            <w:tcW w:w="114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本溪市文化旅游和广播电视局-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实施单位</w:t>
            </w:r>
          </w:p>
        </w:tc>
        <w:tc>
          <w:tcPr>
            <w:tcW w:w="114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本溪市文化事业发展服务中心-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项目预算金额（万元）</w:t>
            </w:r>
          </w:p>
        </w:tc>
        <w:tc>
          <w:tcPr>
            <w:tcW w:w="3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2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全年执行数</w:t>
            </w:r>
          </w:p>
        </w:tc>
        <w:tc>
          <w:tcPr>
            <w:tcW w:w="28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2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执行率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8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年初设定目标</w:t>
            </w:r>
          </w:p>
        </w:tc>
        <w:tc>
          <w:tcPr>
            <w:tcW w:w="55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全年实际完成情况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8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确保三集中学生训练水准，做好运动员生活后勤保障</w:t>
            </w:r>
          </w:p>
        </w:tc>
        <w:tc>
          <w:tcPr>
            <w:tcW w:w="55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全面保障三集中学生训练水准，做好运动员生活保障。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一级指标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二级指标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三级指标</w:t>
            </w: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年度目标值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完成值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完成程度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分值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得分</w:t>
            </w:r>
          </w:p>
        </w:tc>
        <w:tc>
          <w:tcPr>
            <w:tcW w:w="38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未完成原因分析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8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符号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内容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单位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经费保障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制度保障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人员保障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硬件条件保障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原因说明</w:t>
            </w:r>
          </w:p>
        </w:tc>
        <w:tc>
          <w:tcPr>
            <w:tcW w:w="1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8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产出指标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数量指标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体育专项器材及装备采购数量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16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台（套）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16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8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组队参加青少年体育赛事项数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26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26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质量指标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采购质量合格率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85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全年教学耗材使用率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85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时效指标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体育活动计划完成及时率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8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社会效益指标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对体育事业可持续发展的影响程度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4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可持续影响指标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对全省体育事业发展的影响力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持续发展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全部或基本达成预期指标100%-80%（含）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满意度指标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服务对象满意度指标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受益人群满意度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25" w:hRule="exact"/>
          <w:jc w:val="center"/>
        </w:trPr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外聘人员满意度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8" w:hRule="exac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满意度指标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服务对象满意度指标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学员满意度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指标自评得分小计</w:t>
            </w:r>
          </w:p>
        </w:tc>
        <w:tc>
          <w:tcPr>
            <w:tcW w:w="3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2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预算执行率得分</w:t>
            </w: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减分项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0</w:t>
            </w:r>
          </w:p>
        </w:tc>
        <w:tc>
          <w:tcPr>
            <w:tcW w:w="2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绩效自评总得分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</w:t>
            </w:r>
          </w:p>
        </w:tc>
        <w:tc>
          <w:tcPr>
            <w:tcW w:w="64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结果应用建议选项</w:t>
            </w: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改进预算项目管理（改进措施和方式）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建议加快体育赛事的资金拨付方式，提取拨付部分资金用于启动赛事前期费用。赛事组织比较复杂。场地与比赛组织来自不同单位。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完善制度设计，建议进行政策调整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政策到期，建议重新发布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建议调整公共服务标准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不再继续安排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减少或取消安排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51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结构调整，压低效补高效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预算一次核定、资金分年度拨付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其他建议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主管部门审核意见</w:t>
            </w: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保证赛事正常运行的经费，建议继续全额安排。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财政部门审核意见</w:t>
            </w: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34" w:hRule="exact"/>
          <w:jc w:val="center"/>
        </w:trPr>
        <w:tc>
          <w:tcPr>
            <w:tcW w:w="2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49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建议强化资金管理，建立全过程绩效监管，切实减少低效支出，从源头提升资金使用效能。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76" w:hRule="exact"/>
          <w:jc w:val="center"/>
        </w:trPr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财政部门总体意见</w:t>
            </w:r>
          </w:p>
        </w:tc>
        <w:tc>
          <w:tcPr>
            <w:tcW w:w="114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建议强化绩效结果应用，提升财政资金使用效益。</w:t>
            </w:r>
          </w:p>
        </w:tc>
      </w:tr>
    </w:tbl>
    <w:p>
      <w:pPr>
        <w:sectPr>
          <w:pgSz w:w="16839" w:h="11907" w:orient="landscape"/>
          <w:pgMar w:top="567" w:right="1701" w:bottom="567" w:left="1701" w:header="720" w:footer="720" w:gutter="0"/>
          <w:cols w:space="720" w:num="1"/>
        </w:sectPr>
      </w:pPr>
    </w:p>
    <w:tbl>
      <w:tblPr>
        <w:tblStyle w:val="3"/>
        <w:tblW w:w="14500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975"/>
        <w:gridCol w:w="975"/>
        <w:gridCol w:w="964"/>
        <w:gridCol w:w="1438"/>
        <w:gridCol w:w="638"/>
        <w:gridCol w:w="1154"/>
        <w:gridCol w:w="639"/>
        <w:gridCol w:w="944"/>
        <w:gridCol w:w="579"/>
        <w:gridCol w:w="580"/>
        <w:gridCol w:w="576"/>
        <w:gridCol w:w="542"/>
        <w:gridCol w:w="527"/>
        <w:gridCol w:w="657"/>
        <w:gridCol w:w="576"/>
        <w:gridCol w:w="576"/>
        <w:gridCol w:w="1024"/>
        <w:gridCol w:w="1136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1450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bookmarkStart w:id="0" w:name="_GoBack"/>
            <w:r>
              <w:rPr>
                <w:rFonts w:ascii="宋体" w:hAnsi="宋体" w:eastAsia="宋体" w:cs="宋体"/>
                <w:b/>
                <w:i w:val="0"/>
                <w:color w:val="000000"/>
                <w:sz w:val="10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1450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8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项目(政策)名称</w:t>
            </w:r>
          </w:p>
        </w:tc>
        <w:tc>
          <w:tcPr>
            <w:tcW w:w="1158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公共图书馆、美术馆、文化馆（站）免费开放市级补助资金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</w:t>
            </w:r>
          </w:p>
        </w:tc>
        <w:tc>
          <w:tcPr>
            <w:tcW w:w="1158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本溪市文化旅游和广播电视局-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实施单位</w:t>
            </w:r>
          </w:p>
        </w:tc>
        <w:tc>
          <w:tcPr>
            <w:tcW w:w="1158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本溪市文化事业发展服务中心-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项目预算金额（万元）</w:t>
            </w:r>
          </w:p>
        </w:tc>
        <w:tc>
          <w:tcPr>
            <w:tcW w:w="3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19.99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全年执行数</w:t>
            </w:r>
          </w:p>
        </w:tc>
        <w:tc>
          <w:tcPr>
            <w:tcW w:w="28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19.99</w:t>
            </w:r>
          </w:p>
        </w:tc>
        <w:tc>
          <w:tcPr>
            <w:tcW w:w="21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执行率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9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年初设定目标</w:t>
            </w:r>
          </w:p>
        </w:tc>
        <w:tc>
          <w:tcPr>
            <w:tcW w:w="56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全年实际完成情况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年度总体目标</w:t>
            </w:r>
          </w:p>
        </w:tc>
        <w:tc>
          <w:tcPr>
            <w:tcW w:w="79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面向群众，实施公益文化服务，保障人民群众基本文化权益</w:t>
            </w:r>
          </w:p>
        </w:tc>
        <w:tc>
          <w:tcPr>
            <w:tcW w:w="56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全面有效促进公共文化服务标准、均等化，总体目标全面达成。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一级指标</w:t>
            </w:r>
          </w:p>
        </w:tc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二级指标</w:t>
            </w: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三级指标</w:t>
            </w:r>
          </w:p>
        </w:tc>
        <w:tc>
          <w:tcPr>
            <w:tcW w:w="24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年度目标值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完成值</w:t>
            </w:r>
          </w:p>
        </w:tc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完成程度</w:t>
            </w:r>
          </w:p>
        </w:tc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分值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得分</w:t>
            </w:r>
          </w:p>
        </w:tc>
        <w:tc>
          <w:tcPr>
            <w:tcW w:w="390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未完成原因分析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8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符号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内容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单位</w:t>
            </w: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经费保障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制度保障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人员保障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硬件条件保障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原因说明</w:t>
            </w: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产出指标</w:t>
            </w:r>
          </w:p>
        </w:tc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数量指标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图书馆到馆参观人数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100000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人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100000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文化馆到馆参观人数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50000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人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50000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77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质量指标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提高广大群众精神文化生活需求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完成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全部或基本达成预期指标100%-80%（含）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场馆更换设备采购合格率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时效指标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场馆设备维护及时率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效益指标</w:t>
            </w:r>
          </w:p>
        </w:tc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社会效益指标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群众文化活动参与人次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5000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人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5000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数字图书馆访问率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80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13.4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8" w:hRule="exac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绩效指标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满意度指标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服务对象满意度指标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观众、读者满意度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&gt;=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%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95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13.3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指标自评得分小计</w:t>
            </w:r>
          </w:p>
        </w:tc>
        <w:tc>
          <w:tcPr>
            <w:tcW w:w="3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90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预算执行率得分</w:t>
            </w: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</w:t>
            </w:r>
          </w:p>
        </w:tc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减分项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0</w:t>
            </w:r>
          </w:p>
        </w:tc>
        <w:tc>
          <w:tcPr>
            <w:tcW w:w="21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绩效自评总得分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100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</w:t>
            </w:r>
          </w:p>
        </w:tc>
        <w:tc>
          <w:tcPr>
            <w:tcW w:w="65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结果应用建议选项</w:t>
            </w: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改进预算项目管理（改进措施和方式）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建立规范管理制度，包括预算监管和目标，制定考勤制度、报销流程，规范预算编制管理。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完善制度设计，建议进行政策调整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政策到期，建议重新发布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建议调整公共服务标准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不再继续安排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减少或取消安排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82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结构调整，压低效补高效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预算一次核定、资金分年度拨付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其他建议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主管部门审核意见</w:t>
            </w: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此项目是公共图书馆和体育场馆向公众开放的基础，是确保上述场地环境和安全的重要保证。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财政部门审核意见</w:t>
            </w: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建议继续全额安排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该项目聚集公共文化服务、文旅发展、红色基因赓续，社会效益显著、保障必须，建议下一年度预算继续予以全额保障安排。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建议继续安排，按规定调整下一年度预算金额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改进预算项目管理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规范财政资金管理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√</w:t>
            </w: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建议强化项目全过程绩效管理，溪湖绩效目标管控，严控成本，节约高效使用财政资金，持续提升资金使用效益。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进行政策调整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政策到期重新发布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调整公共服务标准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3" w:hRule="exact"/>
          <w:jc w:val="center"/>
        </w:trPr>
        <w:tc>
          <w:tcPr>
            <w:tcW w:w="29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其他意见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0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9" w:hRule="exact"/>
          <w:jc w:val="center"/>
        </w:trPr>
        <w:tc>
          <w:tcPr>
            <w:tcW w:w="2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6"/>
              </w:rPr>
              <w:t>财政部门总体意见</w:t>
            </w:r>
          </w:p>
        </w:tc>
        <w:tc>
          <w:tcPr>
            <w:tcW w:w="1158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6"/>
              </w:rPr>
              <w:t>建议持续压实主体责任，强化全过程绩效管理，切实放大财政资金公益普惠综合效能。</w:t>
            </w:r>
          </w:p>
        </w:tc>
      </w:tr>
      <w:bookmarkEnd w:id="0"/>
    </w:tbl>
    <w:p>
      <w:pPr>
        <w:sectPr>
          <w:pgSz w:w="16839" w:h="11907" w:orient="landscape"/>
          <w:pgMar w:top="567" w:right="1701" w:bottom="567" w:left="1701" w:header="720" w:footer="720" w:gutter="0"/>
          <w:cols w:space="720" w:num="1"/>
        </w:sect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662"/>
        <w:gridCol w:w="662"/>
        <w:gridCol w:w="662"/>
        <w:gridCol w:w="627"/>
        <w:gridCol w:w="627"/>
        <w:gridCol w:w="627"/>
        <w:gridCol w:w="627"/>
        <w:gridCol w:w="627"/>
        <w:gridCol w:w="627"/>
        <w:gridCol w:w="627"/>
        <w:gridCol w:w="627"/>
        <w:gridCol w:w="871"/>
        <w:gridCol w:w="871"/>
        <w:gridCol w:w="871"/>
        <w:gridCol w:w="871"/>
        <w:gridCol w:w="871"/>
        <w:gridCol w:w="1742"/>
        <w:gridCol w:w="1742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2" w:hRule="exact"/>
          <w:jc w:val="center"/>
        </w:trPr>
        <w:tc>
          <w:tcPr>
            <w:tcW w:w="14841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000000"/>
                <w:sz w:val="32"/>
              </w:rPr>
              <w:t>部门（单位）整体绩效自评表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1" w:hRule="exact"/>
          <w:jc w:val="center"/>
        </w:trPr>
        <w:tc>
          <w:tcPr>
            <w:tcW w:w="14841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部门（单位）名称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040002本溪市文化事业发展服务中心-210500000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部门年初预算收入金额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3864.28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部门年初预算支出金额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3864.28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对应项目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项目下达金额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项目执行率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基本支出人员经费（保工资）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3306.570337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3306.57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基本支出公用经费（保工资）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4.26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4.26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基本支出人员经费（刚性）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482.551305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472.37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97.89%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9.78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基本支出公用经费（保运转）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453.67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429.57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94.68%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9.46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年初总体目标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完成本单位重点工作，保证总体工作完成率100%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完成本单位重点工作任务，保证总体工作顺利完成。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一级指标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二级指标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三级指标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运算符号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指标值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度量单位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完成程度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  <w:tc>
          <w:tcPr>
            <w:tcW w:w="43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偏差原因分析</w:t>
            </w:r>
          </w:p>
        </w:tc>
        <w:tc>
          <w:tcPr>
            <w:tcW w:w="34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经费保障原因分析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制度保障原因分析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人员保障原因分析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硬件条件保障原因分析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其他原因分析</w:t>
            </w:r>
          </w:p>
        </w:tc>
        <w:tc>
          <w:tcPr>
            <w:tcW w:w="348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综合管理水平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重点工作办结率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整体工作完成情况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总体工作完成率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工作完成及时率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工作质量达标率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预算执行效率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结转结余变动率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预算调整率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管理效率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预算绩效目标覆盖率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预算监督管理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预决算公开情况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全部公开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预算收支管理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预算收入管理规范性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预算支出管理规范性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财务管理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内控制度有效性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制度有效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固定资产利用率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27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政府采购管理违法违规行为发生次数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次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运行成本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成本控制成效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“三公”经费变动率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在职人员控制率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社会效应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政治效益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主题宣传、重点工作宣传量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公益电影放映场次完成率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公共体育场地设施开放率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68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社会公众满意度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公众接受广播电视信号满意度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可持续性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体制机制改革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提升治理能力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治理能力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内控要求规范整合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整合管理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6" w:hRule="exact"/>
          <w:jc w:val="center"/>
        </w:trPr>
        <w:tc>
          <w:tcPr>
            <w:tcW w:w="700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总评价得分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99.24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</w:t>
            </w:r>
          </w:p>
        </w:tc>
        <w:tc>
          <w:tcPr>
            <w:tcW w:w="50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结果应用建议选项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加强预算管理的任务和目标，依法行政、依法理财充分发挥财政职能作用，进一步加强行政预算管理制度建设，规范预算编制管理。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结果应用建议_建议核减下一年度经费数额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建议消减低效、无效资金或结构调整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建议回收长期沉淀的资金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其他建议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建议进一步压实资金使用主体责任，优化资金配置，不断提升财政资金助推文旅融合高质量发展综合效益。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3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建议进一步统筹整合文化旅游各类资金，强化资金全过程监管，加快预算执行力度，把有限财政资金用在民生普惠、产业体质关键领域、关键环节。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93931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LNJWO7QAAAABQEAAA8AAAAAAAAAAQAgAAAAOAAAAGRycy9kb3ducmV2LnhtbFBLAQIU&#10;ABQAAAAIAIdO4kDC4AXNHgIAACEEAAAOAAAAAAAAAAEAIAAAADU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ED08"/>
    <w:rsid w:val="FFFEE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2026-09-01T14:11:00Z</dcterms:created>
  <dc:creator>user</dc:creator>
  <cp:lastModifiedBy>user</cp:lastModifiedBy>
  <dcterms:modified xsi:type="dcterms:W3CDTF">2026-09-01T14:15:57Z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