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662"/>
        <w:gridCol w:w="662"/>
        <w:gridCol w:w="662"/>
        <w:gridCol w:w="627"/>
        <w:gridCol w:w="627"/>
        <w:gridCol w:w="627"/>
        <w:gridCol w:w="627"/>
        <w:gridCol w:w="627"/>
        <w:gridCol w:w="627"/>
        <w:gridCol w:w="627"/>
        <w:gridCol w:w="627"/>
        <w:gridCol w:w="871"/>
        <w:gridCol w:w="871"/>
        <w:gridCol w:w="871"/>
        <w:gridCol w:w="871"/>
        <w:gridCol w:w="871"/>
        <w:gridCol w:w="1742"/>
        <w:gridCol w:w="1742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22" w:hRule="exact"/>
          <w:jc w:val="center"/>
        </w:trPr>
        <w:tc>
          <w:tcPr>
            <w:tcW w:w="14841" w:type="dxa"/>
            <w:gridSpan w:val="18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000000"/>
                <w:sz w:val="32"/>
              </w:rPr>
              <w:t>部门（单位）整体绩效自评表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91" w:hRule="exact"/>
          <w:jc w:val="center"/>
        </w:trPr>
        <w:tc>
          <w:tcPr>
            <w:tcW w:w="14841" w:type="dxa"/>
            <w:gridSpan w:val="18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4"/>
              </w:rPr>
              <w:t>(2025年度)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部门（单位）名称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040003本溪市文化市场综合行政执法队-210500000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部门年初预算收入金额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432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26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部门年初预算支出金额</w:t>
            </w:r>
          </w:p>
        </w:tc>
        <w:tc>
          <w:tcPr>
            <w:tcW w:w="1222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432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年度主要任务</w:t>
            </w: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对应项目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项目下达金额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项目执行金额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项目执行率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分值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得分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年度主要任务</w:t>
            </w: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基本支出人员经费（刚性）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58.523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52.19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89.18%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8.91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基本支出公用经费（保工资）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13.86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13.86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基本支出人员经费（保工资）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362.624859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362.62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571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基本支出公用经费（保运转）</w:t>
            </w:r>
          </w:p>
        </w:tc>
        <w:tc>
          <w:tcPr>
            <w:tcW w:w="1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28.29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26.86</w:t>
            </w:r>
          </w:p>
        </w:tc>
        <w:tc>
          <w:tcPr>
            <w:tcW w:w="17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94.96%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9.49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01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年度目标</w:t>
            </w:r>
          </w:p>
        </w:tc>
        <w:tc>
          <w:tcPr>
            <w:tcW w:w="6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年初总体目标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全年完成情况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年度目标</w:t>
            </w:r>
          </w:p>
        </w:tc>
        <w:tc>
          <w:tcPr>
            <w:tcW w:w="63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完成本单位重点工作任务，保证总体工作完成率100%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规范文化市场监管，确保文化市场健康有序、安全稳定完成全年工作任务。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482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绩效指标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一级指标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二级指标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三级指标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运算符号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指标值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度量单位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全年完成值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完成程度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分值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得分</w:t>
            </w:r>
          </w:p>
        </w:tc>
        <w:tc>
          <w:tcPr>
            <w:tcW w:w="435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偏差原因分析</w:t>
            </w:r>
          </w:p>
        </w:tc>
        <w:tc>
          <w:tcPr>
            <w:tcW w:w="34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改进措施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绩效指标</w:t>
            </w: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经费保障原因分析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制度保障原因分析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人员保障原因分析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硬件条件保障原因分析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其他原因分析</w:t>
            </w:r>
          </w:p>
        </w:tc>
        <w:tc>
          <w:tcPr>
            <w:tcW w:w="348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履职效能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重点工作履行情况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重点工作办结率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履职效能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重点工作履行情况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综合管理水平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整体工作完成情况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总体工作完成率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工作完成及时率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工作质量达标率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预算执行效率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结转结余变动率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预算执行率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72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预算调整率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管理效率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预算绩效目标覆盖率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预算监督管理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预决算公开情况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全部公开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预算收支管理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预算收入管理规范性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预算支出管理规范性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管理规范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财务管理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内控制度有效性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制度有效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固定资产利用率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0.8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927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政府采购管理违法违规行为发生次数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次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0.7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运行成本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成本控制成效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“三公”经费变动率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在职人员控制率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&lt;=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100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社会效应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政治效益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有利于促进社会主义精神文明建设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政治效益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4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推介和获奖项目媒体宣传率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44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经济效益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旅游投诉案件数量降低率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964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服务对象满意度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活动参与者满意度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686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社会公众满意度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公众接受广播电视信号满意度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%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90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1205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可持续性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体制机制改革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稳定发展国家实验室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&gt;=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个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20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16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明确融媒体采编部门责任划分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责任划分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全部或基本达成预期指标100%-80%（含）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2.5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3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316" w:hRule="exact"/>
          <w:jc w:val="center"/>
        </w:trPr>
        <w:tc>
          <w:tcPr>
            <w:tcW w:w="700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22"/>
              </w:rPr>
              <w:t>总评价得分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color w:val="000000"/>
                <w:sz w:val="22"/>
              </w:rPr>
              <w:t>98.4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</w:t>
            </w:r>
          </w:p>
        </w:tc>
        <w:tc>
          <w:tcPr>
            <w:tcW w:w="501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结果应用建议选项</w:t>
            </w: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具体建议内容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建议进一步规范预算管理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建议进一步提升预算执行效率和效益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结果应用建议_建议核减下一年度经费数额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建议消减低效、无效资金或结构调整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建议回收长期沉淀的资金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其他建议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能更好完善规范绩效工作，希望上级组织培训工作，提供规范模板，使申报工作能够顺利完成。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主管部门审核意见</w:t>
            </w: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建议继续全额安排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建议继续安排，按规定调整下一年度预算金额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削减低效、无效资金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对资金结构进行调整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收回长期沉淀的资金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其他意见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主管部门总体意见</w:t>
            </w:r>
          </w:p>
        </w:tc>
        <w:tc>
          <w:tcPr>
            <w:tcW w:w="1285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建议继续全额安排。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财政部门审核意见</w:t>
            </w: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建议继续全额安排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建议继续安排，按规定调整下一年度预算金额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规范预算管理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改进业务管理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改进预算编制管理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提升预算执行效率和效益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改进资产管理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改进政府采购管理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调整公共服务标准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削减低效、无效资金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对资金结构进行调整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收回长期沉淀的资金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286" w:hRule="exact"/>
          <w:jc w:val="center"/>
        </w:trPr>
        <w:tc>
          <w:tcPr>
            <w:tcW w:w="19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4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left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其他意见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</w:p>
        </w:tc>
        <w:tc>
          <w:tcPr>
            <w:tcW w:w="783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建议统筹用好财政经费，优化资金使用方向，严控非必要支出，厉行节约集约使用财政资金。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3" w:hRule="exact"/>
          <w:jc w:val="center"/>
        </w:trPr>
        <w:tc>
          <w:tcPr>
            <w:tcW w:w="1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0"/>
              </w:rPr>
              <w:t>财政部门总体意见</w:t>
            </w:r>
          </w:p>
        </w:tc>
        <w:tc>
          <w:tcPr>
            <w:tcW w:w="1285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snapToGrid w:val="0"/>
              <w:spacing w:before="0" w:beforeAutospacing="0" w:after="0" w:afterAutospacing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0"/>
              </w:rPr>
              <w:t>建议强化资金全过程绩效管理，加快预算执行力度，切实提升资金使用效能。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EC0C2"/>
    <w:rsid w:val="7FFEC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2026-09-01T14:21:00Z</dcterms:created>
  <dc:creator>user</dc:creator>
  <cp:lastModifiedBy>user</cp:lastModifiedBy>
  <dcterms:modified xsi:type="dcterms:W3CDTF">2026-09-01T14:22:21Z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