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872"/>
        <w:gridCol w:w="872"/>
        <w:gridCol w:w="857"/>
        <w:gridCol w:w="1285"/>
        <w:gridCol w:w="571"/>
        <w:gridCol w:w="1028"/>
        <w:gridCol w:w="571"/>
        <w:gridCol w:w="843"/>
        <w:gridCol w:w="514"/>
        <w:gridCol w:w="514"/>
        <w:gridCol w:w="514"/>
        <w:gridCol w:w="485"/>
        <w:gridCol w:w="472"/>
        <w:gridCol w:w="586"/>
        <w:gridCol w:w="514"/>
        <w:gridCol w:w="514"/>
        <w:gridCol w:w="914"/>
        <w:gridCol w:w="999"/>
        <w:gridCol w:w="957"/>
        <w:gridCol w:w="957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46" w:hRule="exact"/>
          <w:jc w:val="center"/>
        </w:trPr>
        <w:tc>
          <w:tcPr>
            <w:tcW w:w="14839" w:type="dxa"/>
            <w:gridSpan w:val="20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bookmarkStart w:id="0" w:name="_GoBack"/>
            <w:bookmarkEnd w:id="0"/>
            <w:r>
              <w:rPr>
                <w:rFonts w:ascii="Calibri" w:hAnsi="Calibri" w:eastAsia="Calibri" w:cs="Calibri"/>
                <w:b/>
                <w:i w:val="0"/>
                <w:color w:val="000000"/>
                <w:sz w:val="26"/>
              </w:rPr>
              <w:t>部门（单位）整体绩效自评表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3" w:hRule="exact"/>
          <w:jc w:val="center"/>
        </w:trPr>
        <w:tc>
          <w:tcPr>
            <w:tcW w:w="14839" w:type="dxa"/>
            <w:gridSpan w:val="20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38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部门（单位）名称</w:t>
            </w:r>
          </w:p>
        </w:tc>
        <w:tc>
          <w:tcPr>
            <w:tcW w:w="10953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040001本溪市文化旅游和广播电视局本级-210500000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38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部门年初预算收入金额</w:t>
            </w:r>
          </w:p>
        </w:tc>
        <w:tc>
          <w:tcPr>
            <w:tcW w:w="10953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896.85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38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部门年初预算支出金额</w:t>
            </w:r>
          </w:p>
        </w:tc>
        <w:tc>
          <w:tcPr>
            <w:tcW w:w="10953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896.85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年度主要任务</w:t>
            </w:r>
          </w:p>
        </w:tc>
        <w:tc>
          <w:tcPr>
            <w:tcW w:w="70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对应项目</w:t>
            </w:r>
          </w:p>
        </w:tc>
        <w:tc>
          <w:tcPr>
            <w:tcW w:w="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项目下达金额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项目执行金额</w:t>
            </w:r>
          </w:p>
        </w:tc>
        <w:tc>
          <w:tcPr>
            <w:tcW w:w="10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项目执行率</w:t>
            </w:r>
          </w:p>
        </w:tc>
        <w:tc>
          <w:tcPr>
            <w:tcW w:w="1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分值</w:t>
            </w:r>
          </w:p>
        </w:tc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得分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年度主要任务</w:t>
            </w:r>
          </w:p>
        </w:tc>
        <w:tc>
          <w:tcPr>
            <w:tcW w:w="70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基本支出人员经费（刚性）</w:t>
            </w:r>
          </w:p>
        </w:tc>
        <w:tc>
          <w:tcPr>
            <w:tcW w:w="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232.351499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228.24</w:t>
            </w:r>
          </w:p>
        </w:tc>
        <w:tc>
          <w:tcPr>
            <w:tcW w:w="10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98.23%</w:t>
            </w:r>
          </w:p>
        </w:tc>
        <w:tc>
          <w:tcPr>
            <w:tcW w:w="1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9.82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0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基本支出公用经费（保运转）</w:t>
            </w:r>
          </w:p>
        </w:tc>
        <w:tc>
          <w:tcPr>
            <w:tcW w:w="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114.21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89.74</w:t>
            </w:r>
          </w:p>
        </w:tc>
        <w:tc>
          <w:tcPr>
            <w:tcW w:w="10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78.58%</w:t>
            </w:r>
          </w:p>
        </w:tc>
        <w:tc>
          <w:tcPr>
            <w:tcW w:w="1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7.85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0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基本支出公用经费（保工资）</w:t>
            </w:r>
          </w:p>
        </w:tc>
        <w:tc>
          <w:tcPr>
            <w:tcW w:w="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40.78268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40.78</w:t>
            </w:r>
          </w:p>
        </w:tc>
        <w:tc>
          <w:tcPr>
            <w:tcW w:w="10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1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0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基本支出人员经费（保工资）</w:t>
            </w:r>
          </w:p>
        </w:tc>
        <w:tc>
          <w:tcPr>
            <w:tcW w:w="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670.649676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670.64</w:t>
            </w:r>
          </w:p>
        </w:tc>
        <w:tc>
          <w:tcPr>
            <w:tcW w:w="10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19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年度目标</w:t>
            </w:r>
          </w:p>
        </w:tc>
        <w:tc>
          <w:tcPr>
            <w:tcW w:w="756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年初总体目标</w:t>
            </w: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全年完成情况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年度目标</w:t>
            </w:r>
          </w:p>
        </w:tc>
        <w:tc>
          <w:tcPr>
            <w:tcW w:w="756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完成本单位日常工作，完成本单位重点工作任务</w:t>
            </w: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完成本单位日常工作，完成本单位重点工作任务和上级临时交办的工作任务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绩效指标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一级指标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二级指标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三级指标</w:t>
            </w:r>
          </w:p>
        </w:tc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运算符号</w:t>
            </w:r>
          </w:p>
        </w:tc>
        <w:tc>
          <w:tcPr>
            <w:tcW w:w="10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指标值</w:t>
            </w:r>
          </w:p>
        </w:tc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度量单位</w:t>
            </w:r>
          </w:p>
        </w:tc>
        <w:tc>
          <w:tcPr>
            <w:tcW w:w="8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全年完成值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完成程度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分值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得分</w:t>
            </w:r>
          </w:p>
        </w:tc>
        <w:tc>
          <w:tcPr>
            <w:tcW w:w="2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偏差原因分析</w:t>
            </w:r>
          </w:p>
        </w:tc>
        <w:tc>
          <w:tcPr>
            <w:tcW w:w="3827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绩效指标</w:t>
            </w: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经费保障原因分析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制度保障原因分析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人员保障原因分析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硬件条件保障原因分析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其他原因分析</w:t>
            </w:r>
          </w:p>
        </w:tc>
        <w:tc>
          <w:tcPr>
            <w:tcW w:w="3827" w:type="dxa"/>
            <w:gridSpan w:val="4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履职效能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重点工作履行情况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综合管理水平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管理规范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履职效能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重点工作履行情况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重点工作办结率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整体工作完成情况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总体工作完成率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工作完成及时率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工作质量达标率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预算执行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预算执行效率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结转结余变动率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1.6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1.6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预算执行率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1.6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1.6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预算调整率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1.8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1.8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管理效率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预算编制管理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预算绩效目标覆盖率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预算监督管理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预决算公开情况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全部公开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预算收支管理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预算收入管理规范性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管理规范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预算支出管理规范性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管理规范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财务管理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内控制度有效性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制度有效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资产管理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固定资产利用率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0.8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0.8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业务管理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政府采购管理违法违规行为发生次数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运行成本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成本控制成效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“三公”经费变动率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在职人员控制率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社会效应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社会效益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举办群众体育活动数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经济效益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旅游投诉案件数量降低率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0.5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0.78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服务对象满意度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服务对象满意度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91.36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社会公众满意度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社会民众满意度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90.1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可持续性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体制机制改革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推进体育公共服务和体育体制改革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长期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88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内控制度完善提升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长期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全部或基本达成预期指标100%-80%（含）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47" w:hRule="exact"/>
          <w:jc w:val="center"/>
        </w:trPr>
        <w:tc>
          <w:tcPr>
            <w:tcW w:w="844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18"/>
              </w:rPr>
              <w:t>总评价得分</w:t>
            </w: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18"/>
              </w:rPr>
              <w:t>97.67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结果应用建议</w:t>
            </w:r>
          </w:p>
        </w:tc>
        <w:tc>
          <w:tcPr>
            <w:tcW w:w="58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结果应用建议选项</w:t>
            </w: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建议进一步规范预算管理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建议改进业务管理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建议改进预算编制管理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建议进一步提升预算执行效率和效益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建议改进资产管理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对于现有资产管理的制度应该加强，采用现代管理手段动态的管理，并且对资产的处理和转移更加重视起来。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建议改进政府采购管理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建议调整公共服务标准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结果应用建议_建议核减下一年度经费数额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建议消减低效、无效资金或结构调整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建议回收长期沉淀的资金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其他建议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主管部门审核意见</w:t>
            </w: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建议继续全额安排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建议继续安排，按规定调整下一年度预算金额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规范预算管理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改进业务管理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改进预算编制管理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提升预算执行效率和效益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改进资产管理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改进政府采购管理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调整公共服务标准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削减低效、无效资金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对资金结构进行调整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收回长期沉淀的资金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其他意见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主管部门总体意见</w:t>
            </w:r>
          </w:p>
        </w:tc>
        <w:tc>
          <w:tcPr>
            <w:tcW w:w="12238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财政部门审核意见</w:t>
            </w: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建议继续全额安排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建议继续安排，按规定调整下一年度预算金额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规范预算管理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改进业务管理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改进预算编制管理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提升预算执行效率和效益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改进资产管理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改进政府采购管理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调整公共服务标准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削减低效、无效资金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对资金结构进行调整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收回长期沉淀的资金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3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其他意见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39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建议进一步统筹整合文化旅游各类资金，优化资金配置，严控低效支出，强化资金全过程监管，加快预算执行力度，持续提高资金使用效益。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财政部门总体意见</w:t>
            </w:r>
          </w:p>
        </w:tc>
        <w:tc>
          <w:tcPr>
            <w:tcW w:w="12238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建议压实资金使用主体责任，杜绝资金闲置沉淀，不断提升财政资金助推文旅融合高质量发展综合效益，把有限财政资金用在民生普惠、产业体质关键领域、关键环节。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5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285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71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02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71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43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485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47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8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99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5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5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57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285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71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02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71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43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485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472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8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51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14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99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57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957" w:type="dxa"/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3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3010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6"/>
              </w:rPr>
              <w:t>预算项目(政策)绩效自评表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13010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(2025年度)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项目(政策)名称</w:t>
            </w:r>
          </w:p>
        </w:tc>
        <w:tc>
          <w:tcPr>
            <w:tcW w:w="99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文旅品牌塑造经费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主管部门</w:t>
            </w:r>
          </w:p>
        </w:tc>
        <w:tc>
          <w:tcPr>
            <w:tcW w:w="99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本溪市文化旅游和广播电视局-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实施单位</w:t>
            </w:r>
          </w:p>
        </w:tc>
        <w:tc>
          <w:tcPr>
            <w:tcW w:w="99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本溪市文化旅游和广播电视局本级-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项目预算金额（万元）</w:t>
            </w:r>
          </w:p>
        </w:tc>
        <w:tc>
          <w:tcPr>
            <w:tcW w:w="21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197.03</w:t>
            </w:r>
          </w:p>
        </w:tc>
        <w:tc>
          <w:tcPr>
            <w:tcW w:w="1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全年执行数</w:t>
            </w:r>
          </w:p>
        </w:tc>
        <w:tc>
          <w:tcPr>
            <w:tcW w:w="2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197.03</w:t>
            </w:r>
          </w:p>
        </w:tc>
        <w:tc>
          <w:tcPr>
            <w:tcW w:w="24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执行率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年度总体目标</w:t>
            </w:r>
          </w:p>
        </w:tc>
        <w:tc>
          <w:tcPr>
            <w:tcW w:w="66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年初设定目标</w:t>
            </w:r>
          </w:p>
        </w:tc>
        <w:tc>
          <w:tcPr>
            <w:tcW w:w="54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全年实际完成情况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年度总体目标</w:t>
            </w:r>
          </w:p>
        </w:tc>
        <w:tc>
          <w:tcPr>
            <w:tcW w:w="66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在全市形成推动文体旅产业深度融合发展合力，全面释放文体旅产业对全市经济的拉动作用。全面提升本溪旅游城市影响力和知名度，推动文旅项目招商引资，签约落地一批重点文旅项目。</w:t>
            </w:r>
          </w:p>
        </w:tc>
        <w:tc>
          <w:tcPr>
            <w:tcW w:w="54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1、完成《天女木兰》3000本制作及1日完成配送工作，2、“手绘文旅图物料”二次印刷4000份，3、“中草药签订合同”完成10000个宣传书签。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绩效指标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一级指标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二级指标</w:t>
            </w:r>
          </w:p>
        </w:tc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三级指标</w:t>
            </w:r>
          </w:p>
        </w:tc>
        <w:tc>
          <w:tcPr>
            <w:tcW w:w="24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年度目标值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全年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完成值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完成程度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分值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得分</w:t>
            </w:r>
          </w:p>
        </w:tc>
        <w:tc>
          <w:tcPr>
            <w:tcW w:w="39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未完成原因分析</w:t>
            </w:r>
          </w:p>
        </w:tc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改进措施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运算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符号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内容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度量</w:t>
            </w:r>
          </w:p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单位</w:t>
            </w: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经费保障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制度保障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人员保障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硬件条件保障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原因说明</w:t>
            </w: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90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产出指标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数量指标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旅游宣传推广活动项目数量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个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印刷旅游宣传品数量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6000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个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6000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90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质量指标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公共旅游形象宣传覆盖率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旅游宣传覆盖率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时效指标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工作完成时效性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280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天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280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8.5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成本指标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宣传成本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&lt;=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400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万元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400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8.3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效益指标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社会效益指标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主流媒体报道次数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次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13.3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13.3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93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旅游人次增长率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13.4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13.4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90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绩效指标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满意度指标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服务对象满意度指标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旅游公共服务群众满意度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&gt;=</w:t>
            </w:r>
          </w:p>
        </w:tc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100%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13.3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13.3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指标自评得分小计</w:t>
            </w:r>
          </w:p>
        </w:tc>
        <w:tc>
          <w:tcPr>
            <w:tcW w:w="21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90</w:t>
            </w:r>
          </w:p>
        </w:tc>
        <w:tc>
          <w:tcPr>
            <w:tcW w:w="1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预算执行率得分</w:t>
            </w:r>
          </w:p>
        </w:tc>
        <w:tc>
          <w:tcPr>
            <w:tcW w:w="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减分项</w:t>
            </w: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w="24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绩效自评总得分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100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结果应用建议</w:t>
            </w:r>
          </w:p>
        </w:tc>
        <w:tc>
          <w:tcPr>
            <w:tcW w:w="50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结果应用建议选项</w:t>
            </w: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具体建议内容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改进预算项目管理（改进措施和方式）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规范财政资金管理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√</w:t>
            </w: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规范资金使用方式，加强财政监督管理力度，保证资金使用方向，建议此类项目提前优先拨付。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完善制度设计，建议进行政策调整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政策到期，建议重新发布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建议调整公共服务标准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不再继续安排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减少或取消安排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结构调整，压低效补高效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预算一次核定、资金分年度拨付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其他建议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主管部门审核意见</w:t>
            </w: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建议继续全额安排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√</w:t>
            </w: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文旅品牌塑造经费，建议继续全额安排。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建议继续安排，按规定调整下一年度预算金额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改进预算项目管理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规范财政资金管理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进行政策调整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政策到期重新发布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调整公共服务标准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其他意见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财政部门审核意见</w:t>
            </w: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建议继续全额安排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建议继续安排，按规定调整下一年度预算金额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改进预算项目管理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规范财政资金管理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√</w:t>
            </w: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建议持续加强项目全过程绩效管理，加快预算执行进度，严控项目成本，不断提升资金使用效率。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进行政策调整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政策到期重新发布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调整公共服务标准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5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其他意见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35" w:hRule="exact"/>
          <w:jc w:val="center"/>
        </w:trPr>
        <w:tc>
          <w:tcPr>
            <w:tcW w:w="872" w:type="dxa"/>
            <w:tcBorders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30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16"/>
              </w:rPr>
              <w:t>财政部门总体意见</w:t>
            </w:r>
          </w:p>
        </w:tc>
        <w:tc>
          <w:tcPr>
            <w:tcW w:w="99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16"/>
              </w:rPr>
              <w:t>建议科学精准编制预算，加强财政资金全过程绩效管理，强化基本民生财力保障，提高资金使用效率。</w:t>
            </w:r>
          </w:p>
        </w:tc>
        <w:tc>
          <w:tcPr>
            <w:tcW w:w="957" w:type="dxa"/>
            <w:tcBorders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</w:tr>
    </w:tbl>
    <w:p/>
    <w:sectPr>
      <w:footerReference r:id="rId3" w:type="default"/>
      <w:pgSz w:w="16839" w:h="11907" w:orient="landscape"/>
      <w:pgMar w:top="1701" w:right="567" w:bottom="1701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E8F3409"/>
    <w:rsid w:val="CE8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2026-09-01T14:16:00Z</dcterms:created>
  <dc:creator>user</dc:creator>
  <cp:lastModifiedBy>user</cp:lastModifiedBy>
  <dcterms:modified xsi:type="dcterms:W3CDTF">2026-09-01T14:17:37Z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