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662"/>
        <w:gridCol w:w="662"/>
        <w:gridCol w:w="662"/>
        <w:gridCol w:w="627"/>
        <w:gridCol w:w="627"/>
        <w:gridCol w:w="627"/>
        <w:gridCol w:w="627"/>
        <w:gridCol w:w="627"/>
        <w:gridCol w:w="627"/>
        <w:gridCol w:w="627"/>
        <w:gridCol w:w="627"/>
        <w:gridCol w:w="871"/>
        <w:gridCol w:w="871"/>
        <w:gridCol w:w="871"/>
        <w:gridCol w:w="871"/>
        <w:gridCol w:w="871"/>
        <w:gridCol w:w="1742"/>
        <w:gridCol w:w="1742"/>
      </w:tblGrid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22" w:hRule="exact"/>
          <w:jc w:val="center"/>
        </w:trPr>
        <w:tc>
          <w:tcPr>
            <w:tcW w:w="14841" w:type="dxa"/>
            <w:gridSpan w:val="18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000000"/>
                <w:sz w:val="32"/>
              </w:rPr>
              <w:t>部门（单位）整体绩效自评表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1" w:hRule="exact"/>
          <w:jc w:val="center"/>
        </w:trPr>
        <w:tc>
          <w:tcPr>
            <w:tcW w:w="14841" w:type="dxa"/>
            <w:gridSpan w:val="18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4"/>
              </w:rPr>
              <w:t>(2025年度)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26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部门（单位）名称</w:t>
            </w:r>
          </w:p>
        </w:tc>
        <w:tc>
          <w:tcPr>
            <w:tcW w:w="12228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040005本溪市文物保护中心-210500000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01" w:hRule="exact"/>
          <w:jc w:val="center"/>
        </w:trPr>
        <w:tc>
          <w:tcPr>
            <w:tcW w:w="26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部门年初预算收入金额</w:t>
            </w:r>
          </w:p>
        </w:tc>
        <w:tc>
          <w:tcPr>
            <w:tcW w:w="12228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117.08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01" w:hRule="exact"/>
          <w:jc w:val="center"/>
        </w:trPr>
        <w:tc>
          <w:tcPr>
            <w:tcW w:w="26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部门年初预算支出金额</w:t>
            </w:r>
          </w:p>
        </w:tc>
        <w:tc>
          <w:tcPr>
            <w:tcW w:w="12228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117.08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01" w:hRule="exac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年度主要任务</w:t>
            </w:r>
          </w:p>
        </w:tc>
        <w:tc>
          <w:tcPr>
            <w:tcW w:w="571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对应项目</w:t>
            </w:r>
          </w:p>
        </w:tc>
        <w:tc>
          <w:tcPr>
            <w:tcW w:w="1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项目下达金额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项目执行金额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项目执行率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分值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得分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82" w:hRule="exact"/>
          <w:jc w:val="center"/>
        </w:trPr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年度主要任务</w:t>
            </w:r>
          </w:p>
        </w:tc>
        <w:tc>
          <w:tcPr>
            <w:tcW w:w="571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基本支出公用经费（保运转）</w:t>
            </w:r>
          </w:p>
        </w:tc>
        <w:tc>
          <w:tcPr>
            <w:tcW w:w="1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5.61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5.6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99.89%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13.3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13.28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82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1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基本支出人员经费（保工资）</w:t>
            </w:r>
          </w:p>
        </w:tc>
        <w:tc>
          <w:tcPr>
            <w:tcW w:w="1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106.9305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106.93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100%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13.3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13.3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82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1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基本支出人员经费（刚性）</w:t>
            </w:r>
          </w:p>
        </w:tc>
        <w:tc>
          <w:tcPr>
            <w:tcW w:w="1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14.3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14.28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99.86%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13.4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13.38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01" w:hRule="exac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年度目标</w:t>
            </w:r>
          </w:p>
        </w:tc>
        <w:tc>
          <w:tcPr>
            <w:tcW w:w="63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年初总体目标</w:t>
            </w: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全年完成情况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82" w:hRule="exac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年度目标</w:t>
            </w:r>
          </w:p>
        </w:tc>
        <w:tc>
          <w:tcPr>
            <w:tcW w:w="63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确保本单位重点工作全部完成。</w:t>
            </w: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全面完成年初文物保护和非遗工作既定目标。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82" w:hRule="exac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绩效指标</w:t>
            </w: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一级指标</w:t>
            </w: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二级指标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三级指标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运算符号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指标值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度量单位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全年完成值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完成程度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分值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得分</w:t>
            </w:r>
          </w:p>
        </w:tc>
        <w:tc>
          <w:tcPr>
            <w:tcW w:w="43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偏差原因分析</w:t>
            </w:r>
          </w:p>
        </w:tc>
        <w:tc>
          <w:tcPr>
            <w:tcW w:w="34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改进措施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绩效指标</w:t>
            </w: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经费保障原因分析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制度保障原因分析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人员保障原因分析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硬件条件保障原因分析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其他原因分析</w:t>
            </w:r>
          </w:p>
        </w:tc>
        <w:tc>
          <w:tcPr>
            <w:tcW w:w="3484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履职效能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重点工作履行情况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综合管理水平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管理规范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履职效能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重点工作履行情况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重点工作办结率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整体工作完成情况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总体工作完成率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工作完成及时率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工作质量达标率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预算执行</w:t>
            </w: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预算执行效率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结转结余变动率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&lt;=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1.6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1.6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723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预算执行率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1.6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1.6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723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预算调整率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&lt;=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1.8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1.8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205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管理效率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预算编制管理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预算绩效目标覆盖率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预算监督管理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预决算公开情况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全部公开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预算收支管理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预算收入管理规范性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管理规范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预算支出管理规范性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管理规范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财务管理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内控制度有效性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制度有效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资产管理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固定资产利用率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0.8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927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业务管理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政府采购管理违法违规行为发生次数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&lt;=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次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205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运行成本</w:t>
            </w: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成本控制成效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“三公”经费变动率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&lt;=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在职人员控制率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&lt;=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46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社会效应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社会效益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文物保护单位对公众开放率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&gt;=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6.8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6.8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社会公众满意度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参观人员满意度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&gt;=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6.6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6.6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205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主管部门满意度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上级主管部门满意度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&gt;=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6.6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6.6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可持续性</w:t>
            </w: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体制机制改革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建立预算绩效管理机制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保证效率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建立绩效激励机制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保险效率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6" w:hRule="exact"/>
          <w:jc w:val="center"/>
        </w:trPr>
        <w:tc>
          <w:tcPr>
            <w:tcW w:w="700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000000"/>
                <w:sz w:val="22"/>
              </w:rPr>
              <w:t>总评价得分</w:t>
            </w: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000000"/>
                <w:sz w:val="22"/>
              </w:rPr>
              <w:t>97.46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结果应用建议</w:t>
            </w:r>
          </w:p>
        </w:tc>
        <w:tc>
          <w:tcPr>
            <w:tcW w:w="501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结果应用建议选项</w:t>
            </w: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具体建议内容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建议进一步规范预算管理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建议加强预算管理的任务和目标，依法行政、依法理财充分发挥财政职能作用，进一步加强政府预算管理制度建设，规范预算编制管理。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建议改进业务管理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建议改进预算编制管理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建议进一步提升预算执行效率和效益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建议改进资产管理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建议改进政府采购管理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建议调整公共服务标准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结果应用建议_建议核减下一年度经费数额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建议消减低效、无效资金或结构调整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建议回收长期沉淀的资金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其他建议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主管部门审核意见</w:t>
            </w: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建议继续全额安排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建议继续全额安排。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建议继续安排，按规定调整下一年度预算金额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规范预算管理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改进业务管理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改进预算编制管理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提升预算执行效率和效益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改进资产管理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改进政府采购管理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调整公共服务标准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削减低效、无效资金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对资金结构进行调整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收回长期沉淀的资金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其他意见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主管部门总体意见</w:t>
            </w:r>
          </w:p>
        </w:tc>
        <w:tc>
          <w:tcPr>
            <w:tcW w:w="1285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建议继续全额安排。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财政部门审核意见</w:t>
            </w: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建议继续全额安排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建议继续安排，按规定调整下一年度预算金额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规范预算管理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改进业务管理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改进预算编制管理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提升预算执行效率和效益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改进资产管理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改进政府采购管理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调整公共服务标准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削减低效、无效资金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对资金结构进行调整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收回长期沉淀的资金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其他意见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建议进一步优化文物保护资金支出结构，有限保障文物应急抢修、安防提升、日常养护等方面，严控非必要支出，规范资金审核管理，切实提高文物保护资金使用效益。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93" w:hRule="exact"/>
          <w:jc w:val="center"/>
        </w:trPr>
        <w:tc>
          <w:tcPr>
            <w:tcW w:w="1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财政部门总体意见</w:t>
            </w:r>
          </w:p>
        </w:tc>
        <w:tc>
          <w:tcPr>
            <w:tcW w:w="1285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建议科学精准编制文物保护资金预算，加强资金全过程监管，切实提升资金使用效益。</w:t>
            </w:r>
          </w:p>
        </w:tc>
      </w:tr>
    </w:tbl>
    <w:p/>
    <w:p/>
    <w:sectPr>
      <w:footerReference r:id="rId3" w:type="default"/>
      <w:pgSz w:w="16839" w:h="11907" w:orient="landscape"/>
      <w:pgMar w:top="567" w:right="1701" w:bottom="567" w:left="170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EE4B43"/>
    <w:rsid w:val="F7EE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2026-09-01T14:18:00Z</dcterms:created>
  <dc:creator>user</dc:creator>
  <cp:lastModifiedBy>user</cp:lastModifiedBy>
  <dcterms:modified xsi:type="dcterms:W3CDTF">2026-09-01T14:20:30Z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